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6DDFCDFC"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E86219">
        <w:rPr>
          <w:lang w:val="en-US"/>
        </w:rPr>
        <w:t>6</w:t>
      </w:r>
      <w:r w:rsidRPr="00DE3FC8">
        <w:rPr>
          <w:lang w:val="en-US"/>
        </w:rPr>
        <w:tab/>
      </w:r>
      <w:r w:rsidR="002F79FB" w:rsidRPr="002F79FB">
        <w:rPr>
          <w:sz w:val="32"/>
          <w:szCs w:val="32"/>
          <w:lang w:val="en-US"/>
        </w:rPr>
        <w:t>R2-2405668</w:t>
      </w:r>
    </w:p>
    <w:p w14:paraId="5104E0A7" w14:textId="71FA2D4A" w:rsidR="006255E7" w:rsidRDefault="00E86219" w:rsidP="006255E7">
      <w:pPr>
        <w:pStyle w:val="CRCoverPage"/>
        <w:outlineLvl w:val="0"/>
        <w:rPr>
          <w:b/>
          <w:noProof/>
          <w:sz w:val="24"/>
        </w:rPr>
      </w:pPr>
      <w:r>
        <w:rPr>
          <w:b/>
          <w:noProof/>
          <w:sz w:val="24"/>
        </w:rPr>
        <w:t>Fukuoka</w:t>
      </w:r>
      <w:r w:rsidR="006255E7">
        <w:rPr>
          <w:b/>
          <w:noProof/>
          <w:sz w:val="24"/>
        </w:rPr>
        <w:t xml:space="preserve">, </w:t>
      </w:r>
      <w:r>
        <w:rPr>
          <w:b/>
          <w:noProof/>
          <w:sz w:val="24"/>
        </w:rPr>
        <w:t>Japan</w:t>
      </w:r>
      <w:r w:rsidR="006255E7">
        <w:rPr>
          <w:b/>
          <w:noProof/>
          <w:sz w:val="24"/>
        </w:rPr>
        <w:t xml:space="preserve">, </w:t>
      </w:r>
      <w:r>
        <w:rPr>
          <w:rFonts w:cs="Arial"/>
          <w:b/>
          <w:sz w:val="24"/>
          <w:lang w:eastAsia="en-US"/>
        </w:rPr>
        <w:t>May</w:t>
      </w:r>
      <w:r w:rsidRPr="004117F0">
        <w:rPr>
          <w:rFonts w:cs="Arial"/>
          <w:b/>
          <w:sz w:val="24"/>
          <w:lang w:eastAsia="en-US"/>
        </w:rPr>
        <w:t xml:space="preserve"> </w:t>
      </w:r>
      <w:r>
        <w:rPr>
          <w:rFonts w:cs="Arial"/>
          <w:b/>
          <w:sz w:val="24"/>
          <w:lang w:eastAsia="en-US"/>
        </w:rPr>
        <w:t>20</w:t>
      </w:r>
      <w:r w:rsidRPr="004117F0">
        <w:rPr>
          <w:rFonts w:cs="Arial"/>
          <w:b/>
          <w:sz w:val="24"/>
          <w:lang w:eastAsia="en-US"/>
        </w:rPr>
        <w:t xml:space="preserve"> – </w:t>
      </w:r>
      <w:r>
        <w:rPr>
          <w:rFonts w:cs="Arial"/>
          <w:b/>
          <w:sz w:val="24"/>
          <w:lang w:eastAsia="en-US"/>
        </w:rPr>
        <w:t>24</w:t>
      </w:r>
      <w:r w:rsidRPr="004117F0">
        <w:rPr>
          <w:rFonts w:cs="Arial"/>
          <w:b/>
          <w:sz w:val="24"/>
          <w:lang w:eastAsia="en-US"/>
        </w:rPr>
        <w:t>, 2024</w:t>
      </w:r>
    </w:p>
    <w:p w14:paraId="432B3E09" w14:textId="77777777" w:rsidR="00E90E49" w:rsidRPr="00CE0424" w:rsidRDefault="00E90E49" w:rsidP="00357380">
      <w:pPr>
        <w:pStyle w:val="3GPPHeader"/>
      </w:pPr>
    </w:p>
    <w:p w14:paraId="6CF7B12A" w14:textId="10AED53D" w:rsidR="00E90E49" w:rsidRPr="00CE0424" w:rsidRDefault="00E90E49" w:rsidP="00311702">
      <w:pPr>
        <w:pStyle w:val="3GPPHeader"/>
        <w:rPr>
          <w:sz w:val="22"/>
          <w:szCs w:val="22"/>
        </w:rPr>
      </w:pPr>
      <w:r w:rsidRPr="00220C00">
        <w:rPr>
          <w:sz w:val="22"/>
          <w:szCs w:val="22"/>
        </w:rPr>
        <w:t>Agenda Item:</w:t>
      </w:r>
      <w:r w:rsidRPr="00220C00">
        <w:rPr>
          <w:sz w:val="22"/>
          <w:szCs w:val="22"/>
        </w:rPr>
        <w:tab/>
      </w:r>
      <w:r w:rsidR="00220C00" w:rsidRPr="002B329B">
        <w:rPr>
          <w:rFonts w:cs="Arial"/>
          <w:lang w:eastAsia="en-US"/>
        </w:rPr>
        <w:t>8</w:t>
      </w:r>
      <w:r w:rsidR="003B7B8E" w:rsidRPr="002B329B">
        <w:rPr>
          <w:rFonts w:cs="Arial"/>
          <w:lang w:eastAsia="en-US"/>
        </w:rPr>
        <w:t>.</w:t>
      </w:r>
      <w:r w:rsidR="00220C00" w:rsidRPr="002B329B">
        <w:rPr>
          <w:rFonts w:cs="Arial"/>
          <w:lang w:eastAsia="en-US"/>
        </w:rPr>
        <w:t>10</w:t>
      </w:r>
      <w:r w:rsidR="003B7B8E" w:rsidRPr="002B329B">
        <w:rPr>
          <w:rFonts w:cs="Arial"/>
          <w:lang w:eastAsia="en-US"/>
        </w:rPr>
        <w:t>.</w:t>
      </w:r>
      <w:r w:rsidR="00F0296A">
        <w:rPr>
          <w:rFonts w:cs="Arial"/>
          <w:lang w:eastAsia="en-US"/>
        </w:rPr>
        <w:t>5</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0171218" w:rsidR="00E90E49" w:rsidRPr="00CE0424" w:rsidRDefault="003D3C45" w:rsidP="00311702">
      <w:pPr>
        <w:pStyle w:val="3GPPHeader"/>
        <w:rPr>
          <w:sz w:val="22"/>
          <w:szCs w:val="22"/>
        </w:rPr>
      </w:pPr>
      <w:r>
        <w:rPr>
          <w:sz w:val="22"/>
          <w:szCs w:val="22"/>
        </w:rPr>
        <w:t>Title:</w:t>
      </w:r>
      <w:r w:rsidR="00E90E49" w:rsidRPr="00CE0424">
        <w:rPr>
          <w:sz w:val="22"/>
          <w:szCs w:val="22"/>
        </w:rPr>
        <w:tab/>
      </w:r>
      <w:r w:rsidR="00777205" w:rsidRPr="00777205">
        <w:rPr>
          <w:sz w:val="22"/>
          <w:szCs w:val="22"/>
        </w:rPr>
        <w:t>On Rel.18 leftovers</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162A8CA7" w14:textId="77777777" w:rsidR="006B3D8A" w:rsidRDefault="006B3D8A" w:rsidP="006B3D8A">
      <w:pPr>
        <w:pStyle w:val="BodyText"/>
      </w:pPr>
      <w:r>
        <w:t>Rel-19 WID supports the following leftover topics in RAN2</w:t>
      </w:r>
    </w:p>
    <w:p w14:paraId="7962ACFE" w14:textId="77777777" w:rsidR="006B3D8A" w:rsidRPr="00E6094B" w:rsidRDefault="006B3D8A" w:rsidP="006B3D8A">
      <w:pPr>
        <w:pStyle w:val="BodyText"/>
        <w:pBdr>
          <w:top w:val="single" w:sz="4" w:space="1" w:color="auto"/>
          <w:left w:val="single" w:sz="4" w:space="4" w:color="auto"/>
          <w:bottom w:val="single" w:sz="4" w:space="1" w:color="auto"/>
          <w:right w:val="single" w:sz="4" w:space="4" w:color="auto"/>
        </w:pBdr>
      </w:pPr>
      <w:r w:rsidRPr="00E6094B">
        <w:rPr>
          <w:lang w:val="en-US"/>
        </w:rPr>
        <w:t>- Support of the leftovers in Rel-18 SON/MDT [RAN3, RAN2]:</w:t>
      </w:r>
    </w:p>
    <w:p w14:paraId="599393AB" w14:textId="77777777" w:rsidR="006B3D8A" w:rsidRPr="00E6094B" w:rsidRDefault="006B3D8A" w:rsidP="006B3D8A">
      <w:pPr>
        <w:pStyle w:val="BodyText"/>
        <w:pBdr>
          <w:top w:val="single" w:sz="4" w:space="1" w:color="auto"/>
          <w:left w:val="single" w:sz="4" w:space="4" w:color="auto"/>
          <w:bottom w:val="single" w:sz="4" w:space="1" w:color="auto"/>
          <w:right w:val="single" w:sz="4" w:space="4" w:color="auto"/>
        </w:pBdr>
      </w:pPr>
      <w:r w:rsidRPr="00E6094B">
        <w:rPr>
          <w:lang w:val="en-US"/>
        </w:rPr>
        <w:t>•</w:t>
      </w:r>
      <w:r w:rsidRPr="00E6094B">
        <w:rPr>
          <w:lang w:val="en-US"/>
        </w:rPr>
        <w:tab/>
        <w:t>RACH optimization for SDT</w:t>
      </w:r>
    </w:p>
    <w:p w14:paraId="0D94E9A8" w14:textId="77777777" w:rsidR="006B3D8A" w:rsidRPr="00E6094B" w:rsidRDefault="006B3D8A" w:rsidP="006B3D8A">
      <w:pPr>
        <w:pStyle w:val="BodyText"/>
        <w:pBdr>
          <w:top w:val="single" w:sz="4" w:space="1" w:color="auto"/>
          <w:left w:val="single" w:sz="4" w:space="4" w:color="auto"/>
          <w:bottom w:val="single" w:sz="4" w:space="1" w:color="auto"/>
          <w:right w:val="single" w:sz="4" w:space="4" w:color="auto"/>
        </w:pBdr>
      </w:pPr>
      <w:r w:rsidRPr="00E6094B">
        <w:rPr>
          <w:lang w:val="en-US"/>
        </w:rPr>
        <w:t>•</w:t>
      </w:r>
      <w:r w:rsidRPr="00E6094B">
        <w:rPr>
          <w:lang w:val="en-US"/>
        </w:rPr>
        <w:tab/>
        <w:t>MHI Enhancement for SCG Deactivation/Activation</w:t>
      </w:r>
    </w:p>
    <w:p w14:paraId="24D4800A" w14:textId="77777777" w:rsidR="006B3D8A" w:rsidRPr="00E6094B" w:rsidRDefault="006B3D8A" w:rsidP="006B3D8A">
      <w:pPr>
        <w:pStyle w:val="BodyText"/>
        <w:pBdr>
          <w:top w:val="single" w:sz="4" w:space="1" w:color="auto"/>
          <w:left w:val="single" w:sz="4" w:space="4" w:color="auto"/>
          <w:bottom w:val="single" w:sz="4" w:space="1" w:color="auto"/>
          <w:right w:val="single" w:sz="4" w:space="4" w:color="auto"/>
        </w:pBdr>
      </w:pPr>
      <w:r w:rsidRPr="00E6094B">
        <w:rPr>
          <w:lang w:val="en-US"/>
        </w:rPr>
        <w:t>•</w:t>
      </w:r>
      <w:r w:rsidRPr="00E6094B">
        <w:rPr>
          <w:lang w:val="en-US"/>
        </w:rPr>
        <w:tab/>
        <w:t>MRO for MR-DC SCG failure</w:t>
      </w:r>
    </w:p>
    <w:p w14:paraId="0740C758" w14:textId="77777777" w:rsidR="006B3D8A" w:rsidRDefault="006B3D8A" w:rsidP="006B3D8A">
      <w:pPr>
        <w:pStyle w:val="BodyText"/>
      </w:pPr>
    </w:p>
    <w:p w14:paraId="5B2C27ED" w14:textId="77777777" w:rsidR="006B3D8A" w:rsidRDefault="006B3D8A" w:rsidP="006B3D8A">
      <w:pPr>
        <w:pStyle w:val="BodyText"/>
      </w:pPr>
      <w:r>
        <w:t xml:space="preserve">In this paper, we discuss these leftovers. </w:t>
      </w:r>
    </w:p>
    <w:p w14:paraId="198B7595" w14:textId="77777777" w:rsidR="006B3D8A" w:rsidRDefault="006B3D8A" w:rsidP="006C5F6C">
      <w:pPr>
        <w:pStyle w:val="BodyText"/>
      </w:pPr>
    </w:p>
    <w:p w14:paraId="38853E39" w14:textId="77777777" w:rsidR="004000E8" w:rsidRDefault="00230D18" w:rsidP="00CE0424">
      <w:pPr>
        <w:pStyle w:val="Heading1"/>
      </w:pPr>
      <w:bookmarkStart w:id="0" w:name="_Ref178064866"/>
      <w:r>
        <w:t>2</w:t>
      </w:r>
      <w:r>
        <w:tab/>
      </w:r>
      <w:r w:rsidR="004000E8" w:rsidRPr="00CE0424">
        <w:t>Discussion</w:t>
      </w:r>
      <w:bookmarkEnd w:id="0"/>
    </w:p>
    <w:p w14:paraId="59AA1C5D" w14:textId="0E657C0F" w:rsidR="004A7E0E" w:rsidRDefault="004A7E0E" w:rsidP="004A7E0E">
      <w:pPr>
        <w:pStyle w:val="Heading2"/>
        <w:rPr>
          <w:lang w:val="en-US"/>
        </w:rPr>
      </w:pPr>
      <w:r>
        <w:t>2.</w:t>
      </w:r>
      <w:r w:rsidR="00603008">
        <w:t xml:space="preserve">1 </w:t>
      </w:r>
      <w:r w:rsidR="00603008" w:rsidRPr="00E6094B">
        <w:rPr>
          <w:lang w:val="en-US"/>
        </w:rPr>
        <w:t>MHI Enhancement for SCG Deactivation/Activation</w:t>
      </w:r>
    </w:p>
    <w:p w14:paraId="5074E8EB" w14:textId="77777777" w:rsidR="007E2CBD" w:rsidRDefault="007E2CBD" w:rsidP="007E2CBD">
      <w:pPr>
        <w:pStyle w:val="BodyText"/>
      </w:pPr>
      <w:r>
        <w:t>In Rel-16, Mobility History Information (MHI) was introduced, logging up to 16 PCells visited by the UE. In Rel-17, PSCell MHI was introduced, enabling the UE to log up to 16 visited PSCells, or time with no PSCell, across all reported PCells. In Rel-17, SCG activation and deactivation was also introduced, which enables power saving while still allowing fast access to the SCG when needed.</w:t>
      </w:r>
    </w:p>
    <w:p w14:paraId="3018722A" w14:textId="7795F3B6" w:rsidR="007E2CBD" w:rsidRDefault="007E2CBD" w:rsidP="007E2CBD">
      <w:pPr>
        <w:pStyle w:val="BodyText"/>
      </w:pPr>
      <w:r>
        <w:t xml:space="preserve">In Rel-18, the impact of SCG activation and deactivation on the Mobility History Information was brought up by some companies, see for example </w:t>
      </w:r>
      <w:r>
        <w:fldChar w:fldCharType="begin"/>
      </w:r>
      <w:r>
        <w:instrText xml:space="preserve"> REF _Ref162164789 \r \h </w:instrText>
      </w:r>
      <w:r>
        <w:fldChar w:fldCharType="separate"/>
      </w:r>
      <w:r>
        <w:t>[1]</w:t>
      </w:r>
      <w:r>
        <w:fldChar w:fldCharType="end"/>
      </w:r>
      <w:r>
        <w:t xml:space="preserve">, </w:t>
      </w:r>
      <w:r>
        <w:fldChar w:fldCharType="begin"/>
      </w:r>
      <w:r>
        <w:instrText xml:space="preserve"> REF _Ref162164796 \r \h </w:instrText>
      </w:r>
      <w:r>
        <w:fldChar w:fldCharType="separate"/>
      </w:r>
      <w:r>
        <w:t>[2]</w:t>
      </w:r>
      <w:r>
        <w:fldChar w:fldCharType="end"/>
      </w:r>
      <w:r>
        <w:t xml:space="preserve">, but the topic was postponed due to lack of time. In the Rel-19 SON/MDT Work Item </w:t>
      </w:r>
      <w:r>
        <w:fldChar w:fldCharType="begin"/>
      </w:r>
      <w:r>
        <w:instrText xml:space="preserve"> REF _Ref162165250 \r \h </w:instrText>
      </w:r>
      <w:r>
        <w:fldChar w:fldCharType="separate"/>
      </w:r>
      <w:r>
        <w:t>[3]</w:t>
      </w:r>
      <w:r>
        <w:fldChar w:fldCharType="end"/>
      </w:r>
      <w:r>
        <w:t>, MHI enhancement for SCG deactivation/activation is listed as one of the objectives for the Work Item.</w:t>
      </w:r>
    </w:p>
    <w:p w14:paraId="34E07339" w14:textId="77777777" w:rsidR="007E2CBD" w:rsidRDefault="007E2CBD" w:rsidP="007E2CBD">
      <w:pPr>
        <w:pStyle w:val="BodyText"/>
      </w:pPr>
      <w:r>
        <w:t xml:space="preserve">The logging of Mobility History Information is performed when the duration in the cell to be logged is ending, typically upon handover or cell change. The cell the UE is leaving is then logged together with information on the time spent in the cell. Similarly, the logging of PSCell Mobility History Information is done upon addition of a PSCell, release of a PSCell, or upon change of PCell (since the PSCell entries are stored in a substructure to the PCell entries). Just as the PCell history, the PSCell history includes the cell ID and the time spent in the cell, or with no PSCell. The logged information will, after reporting to the network, help the network to understand the movement of the UE and identifying ping-pong or coverage issues in the network. </w:t>
      </w:r>
    </w:p>
    <w:p w14:paraId="21B133DE" w14:textId="77777777" w:rsidR="007E2CBD" w:rsidRDefault="007E2CBD" w:rsidP="007E2CBD">
      <w:pPr>
        <w:pStyle w:val="BodyText"/>
      </w:pPr>
      <w:r>
        <w:t>From the current MHI framework, there is no possibility to see from the Mobility History Information whether the SCG state has been set to activated or deactivated during the time the UE spent in the PSCell.</w:t>
      </w:r>
    </w:p>
    <w:p w14:paraId="261F7D2E" w14:textId="77777777" w:rsidR="007E2CBD" w:rsidRDefault="007E2CBD" w:rsidP="007E2CBD">
      <w:pPr>
        <w:pStyle w:val="Observation"/>
        <w:numPr>
          <w:ilvl w:val="0"/>
          <w:numId w:val="29"/>
        </w:numPr>
        <w:overflowPunct/>
        <w:autoSpaceDE/>
        <w:autoSpaceDN/>
        <w:adjustRightInd/>
        <w:spacing w:line="256" w:lineRule="auto"/>
        <w:ind w:left="1701" w:hanging="1701"/>
        <w:textAlignment w:val="auto"/>
      </w:pPr>
      <w:bookmarkStart w:id="1" w:name="_Toc163203607"/>
      <w:bookmarkStart w:id="2" w:name="_Toc166229578"/>
      <w:r>
        <w:t>SCG activation and deactivation was introduced in Rel-17.</w:t>
      </w:r>
      <w:bookmarkEnd w:id="1"/>
      <w:bookmarkEnd w:id="2"/>
    </w:p>
    <w:p w14:paraId="211203A9" w14:textId="77777777" w:rsidR="007E2CBD" w:rsidRDefault="007E2CBD" w:rsidP="007E2CBD">
      <w:pPr>
        <w:pStyle w:val="Observation"/>
        <w:numPr>
          <w:ilvl w:val="0"/>
          <w:numId w:val="29"/>
        </w:numPr>
        <w:overflowPunct/>
        <w:autoSpaceDE/>
        <w:autoSpaceDN/>
        <w:adjustRightInd/>
        <w:spacing w:line="256" w:lineRule="auto"/>
        <w:ind w:left="1701" w:hanging="1701"/>
        <w:textAlignment w:val="auto"/>
      </w:pPr>
      <w:bookmarkStart w:id="3" w:name="_Toc163203608"/>
      <w:bookmarkStart w:id="4" w:name="_Toc166229579"/>
      <w:r>
        <w:lastRenderedPageBreak/>
        <w:t>There is no possibility to see from the Mobility History Information whether the SCG state was set to activated or deactivated.</w:t>
      </w:r>
      <w:bookmarkEnd w:id="3"/>
      <w:bookmarkEnd w:id="4"/>
    </w:p>
    <w:p w14:paraId="4B233BD7" w14:textId="77777777" w:rsidR="007E2CBD" w:rsidRDefault="007E2CBD" w:rsidP="007E2CBD">
      <w:pPr>
        <w:pStyle w:val="BodyText"/>
      </w:pPr>
      <w:r>
        <w:t xml:space="preserve">With the introduction of SCG activation and deactivation, a PSCell addition or change could take place with the SCG state set to either activated or deactivated. Information indicating the SCG state during the stay in the PSCell could give additional valuable insights and enable optimization of the configuration of dual connectivity. </w:t>
      </w:r>
    </w:p>
    <w:p w14:paraId="21BB91F5" w14:textId="77777777" w:rsidR="007E2CBD" w:rsidRDefault="007E2CBD" w:rsidP="007E2CBD">
      <w:pPr>
        <w:pStyle w:val="Observation"/>
        <w:numPr>
          <w:ilvl w:val="0"/>
          <w:numId w:val="29"/>
        </w:numPr>
        <w:overflowPunct/>
        <w:autoSpaceDE/>
        <w:autoSpaceDN/>
        <w:adjustRightInd/>
        <w:spacing w:line="256" w:lineRule="auto"/>
        <w:ind w:left="1701" w:hanging="1701"/>
        <w:textAlignment w:val="auto"/>
      </w:pPr>
      <w:bookmarkStart w:id="5" w:name="_Toc163203609"/>
      <w:bookmarkStart w:id="6" w:name="_Toc166229580"/>
      <w:r>
        <w:t>Understanding the usage of secondary cells is of importance for understanding in which situations there will be a gain from setting up a secondary cell.</w:t>
      </w:r>
      <w:bookmarkEnd w:id="5"/>
      <w:bookmarkEnd w:id="6"/>
    </w:p>
    <w:p w14:paraId="33DB183B" w14:textId="77777777" w:rsidR="007E2CBD" w:rsidRDefault="007E2CBD" w:rsidP="007E2CBD">
      <w:pPr>
        <w:pStyle w:val="BodyText"/>
      </w:pPr>
      <w:r>
        <w:t>To increase the understanding of the secondary cell usage, information on the accumulated time with SCG state set to deactivated for each PSCell entry could be included in the MHI. Since the time spent with the PSCell configured is already logged by the UE since Rel.17, this new information will give an indication of how large part of the time spent in the PSCell was spent in activated or deactivated state.</w:t>
      </w:r>
    </w:p>
    <w:p w14:paraId="773D5A0F" w14:textId="77777777" w:rsidR="007E2CBD" w:rsidRDefault="007E2CBD" w:rsidP="007E2CBD">
      <w:pPr>
        <w:pStyle w:val="Proposal"/>
        <w:numPr>
          <w:ilvl w:val="0"/>
          <w:numId w:val="28"/>
        </w:numPr>
        <w:tabs>
          <w:tab w:val="clear" w:pos="1304"/>
        </w:tabs>
        <w:overflowPunct/>
        <w:autoSpaceDE/>
        <w:autoSpaceDN/>
        <w:adjustRightInd/>
        <w:spacing w:line="256" w:lineRule="auto"/>
        <w:ind w:left="1701" w:hanging="1701"/>
        <w:textAlignment w:val="auto"/>
      </w:pPr>
      <w:bookmarkStart w:id="7" w:name="_Toc163203602"/>
      <w:bookmarkStart w:id="8" w:name="_Toc165982615"/>
      <w:bookmarkStart w:id="9" w:name="_Toc166229570"/>
      <w:r>
        <w:t>For each PSCell entry of the MHI, log the accumulated time with SCG state set to deactivated during the stay in the PSCell.</w:t>
      </w:r>
      <w:bookmarkEnd w:id="7"/>
      <w:bookmarkEnd w:id="8"/>
      <w:bookmarkEnd w:id="9"/>
    </w:p>
    <w:p w14:paraId="07B4EE5C" w14:textId="03CA4511" w:rsidR="007E2CBD" w:rsidRDefault="007E2CBD" w:rsidP="00791A06">
      <w:r w:rsidRPr="00834E0F">
        <w:rPr>
          <w:rFonts w:ascii="Arial" w:hAnsi="Arial"/>
          <w:lang w:eastAsia="zh-CN"/>
        </w:rPr>
        <w:t xml:space="preserve">Further, for more insights on the need for dual connectivity and optimization of the dual connectivity configuration, we also propose to log the number of times the SCG state has switched </w:t>
      </w:r>
      <w:r w:rsidR="007A534F" w:rsidRPr="00834E0F">
        <w:rPr>
          <w:rFonts w:ascii="Arial" w:hAnsi="Arial"/>
          <w:lang w:eastAsia="zh-CN"/>
        </w:rPr>
        <w:t xml:space="preserve">between </w:t>
      </w:r>
      <w:r w:rsidRPr="00834E0F">
        <w:rPr>
          <w:rFonts w:ascii="Arial" w:hAnsi="Arial"/>
          <w:lang w:eastAsia="zh-CN"/>
        </w:rPr>
        <w:t>activated and deactivated.</w:t>
      </w:r>
      <w:r w:rsidR="00834E0F" w:rsidRPr="00834E0F">
        <w:rPr>
          <w:rFonts w:ascii="Arial" w:hAnsi="Arial"/>
          <w:lang w:eastAsia="zh-CN"/>
        </w:rPr>
        <w:t xml:space="preserve"> This is because </w:t>
      </w:r>
      <w:r w:rsidR="00834E0F">
        <w:rPr>
          <w:rFonts w:ascii="Arial" w:hAnsi="Arial"/>
          <w:lang w:eastAsia="zh-CN"/>
        </w:rPr>
        <w:t>i</w:t>
      </w:r>
      <w:r w:rsidR="00834E0F" w:rsidRPr="00834E0F">
        <w:rPr>
          <w:rFonts w:ascii="Arial" w:hAnsi="Arial"/>
          <w:lang w:eastAsia="zh-CN"/>
        </w:rPr>
        <w:t>f we just log the accumulated time</w:t>
      </w:r>
      <w:r w:rsidR="00B83A96">
        <w:rPr>
          <w:rFonts w:ascii="Arial" w:hAnsi="Arial"/>
          <w:lang w:eastAsia="zh-CN"/>
        </w:rPr>
        <w:t>,</w:t>
      </w:r>
      <w:r w:rsidR="00834E0F" w:rsidRPr="00834E0F">
        <w:rPr>
          <w:rFonts w:ascii="Arial" w:hAnsi="Arial"/>
          <w:lang w:eastAsia="zh-CN"/>
        </w:rPr>
        <w:t xml:space="preserve"> it is not possible to know how often the SCG was activated/deactivated. For example, if the logged accumulated time is long, that may be due to the UE buffer being at full load for long time, or due to the UE transmitting </w:t>
      </w:r>
      <w:r w:rsidR="006024EF" w:rsidRPr="00834E0F">
        <w:rPr>
          <w:rFonts w:ascii="Arial" w:hAnsi="Arial"/>
          <w:lang w:eastAsia="zh-CN"/>
        </w:rPr>
        <w:t>burst</w:t>
      </w:r>
      <w:r w:rsidR="00834E0F" w:rsidRPr="00834E0F">
        <w:rPr>
          <w:rFonts w:ascii="Arial" w:hAnsi="Arial"/>
          <w:lang w:eastAsia="zh-CN"/>
        </w:rPr>
        <w:t xml:space="preserve"> type of traffic for long time.</w:t>
      </w:r>
      <w:r w:rsidR="00791A06">
        <w:rPr>
          <w:rFonts w:ascii="Arial" w:hAnsi="Arial"/>
          <w:lang w:eastAsia="zh-CN"/>
        </w:rPr>
        <w:t xml:space="preserve"> </w:t>
      </w:r>
      <w:r w:rsidR="00834E0F" w:rsidRPr="00834E0F">
        <w:rPr>
          <w:rFonts w:ascii="Arial" w:hAnsi="Arial"/>
        </w:rPr>
        <w:t>So, this information can be useful to understand variations on the UE data traffic, and also for understanding the burstiness of the UE traffic</w:t>
      </w:r>
      <w:r w:rsidR="00791A06">
        <w:rPr>
          <w:rFonts w:ascii="Arial" w:hAnsi="Arial"/>
        </w:rPr>
        <w:t>.</w:t>
      </w:r>
      <w:r w:rsidR="000463F1">
        <w:rPr>
          <w:rFonts w:ascii="Arial" w:hAnsi="Arial"/>
        </w:rPr>
        <w:t xml:space="preserve"> Additionally, </w:t>
      </w:r>
      <w:r w:rsidR="009D12FA">
        <w:rPr>
          <w:rFonts w:ascii="Arial" w:hAnsi="Arial"/>
        </w:rPr>
        <w:t xml:space="preserve">for a given logged accumulated time, </w:t>
      </w:r>
      <w:r w:rsidR="00FC7ABD">
        <w:rPr>
          <w:rFonts w:ascii="Arial" w:hAnsi="Arial"/>
        </w:rPr>
        <w:t xml:space="preserve">based on </w:t>
      </w:r>
      <w:r w:rsidR="009D12FA">
        <w:rPr>
          <w:rFonts w:ascii="Arial" w:hAnsi="Arial"/>
        </w:rPr>
        <w:t xml:space="preserve">the number of </w:t>
      </w:r>
      <w:r w:rsidR="00646E0A">
        <w:rPr>
          <w:rFonts w:ascii="Arial" w:hAnsi="Arial"/>
        </w:rPr>
        <w:t xml:space="preserve">SCG activation/deactivation switches, then </w:t>
      </w:r>
      <w:r w:rsidR="00D00FA3">
        <w:rPr>
          <w:rFonts w:ascii="Arial" w:hAnsi="Arial"/>
        </w:rPr>
        <w:t xml:space="preserve">the </w:t>
      </w:r>
      <w:r w:rsidR="00ED4CDF">
        <w:rPr>
          <w:rFonts w:ascii="Arial" w:hAnsi="Arial"/>
        </w:rPr>
        <w:t xml:space="preserve">network operator can conclude </w:t>
      </w:r>
      <w:r w:rsidR="00505FE4">
        <w:rPr>
          <w:rFonts w:ascii="Arial" w:hAnsi="Arial"/>
        </w:rPr>
        <w:t>whether</w:t>
      </w:r>
      <w:r w:rsidR="00ED4CDF">
        <w:rPr>
          <w:rFonts w:ascii="Arial" w:hAnsi="Arial"/>
        </w:rPr>
        <w:t xml:space="preserve"> the SCG activation/deactivation feature is </w:t>
      </w:r>
      <w:r w:rsidR="00505FE4">
        <w:rPr>
          <w:rFonts w:ascii="Arial" w:hAnsi="Arial"/>
        </w:rPr>
        <w:t xml:space="preserve">really beneficial for the system/UE </w:t>
      </w:r>
      <w:r w:rsidR="00ED4CDF">
        <w:rPr>
          <w:rFonts w:ascii="Arial" w:hAnsi="Arial"/>
        </w:rPr>
        <w:t>(e.g.</w:t>
      </w:r>
      <w:r w:rsidR="00F127D8">
        <w:rPr>
          <w:rFonts w:ascii="Arial" w:hAnsi="Arial"/>
        </w:rPr>
        <w:t xml:space="preserve"> </w:t>
      </w:r>
      <w:r w:rsidR="009A45C8">
        <w:rPr>
          <w:rFonts w:ascii="Arial" w:hAnsi="Arial"/>
        </w:rPr>
        <w:t xml:space="preserve">in case of </w:t>
      </w:r>
      <w:r w:rsidR="00E467C3">
        <w:rPr>
          <w:rFonts w:ascii="Arial" w:hAnsi="Arial"/>
        </w:rPr>
        <w:t xml:space="preserve">no/little </w:t>
      </w:r>
      <w:r w:rsidR="00955437">
        <w:rPr>
          <w:rFonts w:ascii="Arial" w:hAnsi="Arial"/>
        </w:rPr>
        <w:t>number of swit</w:t>
      </w:r>
      <w:r w:rsidR="005D02C4">
        <w:rPr>
          <w:rFonts w:ascii="Arial" w:hAnsi="Arial"/>
        </w:rPr>
        <w:t xml:space="preserve">ches </w:t>
      </w:r>
      <w:r w:rsidR="006A7342">
        <w:rPr>
          <w:rFonts w:ascii="Arial" w:hAnsi="Arial"/>
        </w:rPr>
        <w:t xml:space="preserve">due to no/little </w:t>
      </w:r>
      <w:r w:rsidR="00E467C3">
        <w:rPr>
          <w:rFonts w:ascii="Arial" w:hAnsi="Arial"/>
        </w:rPr>
        <w:t>traffic variations</w:t>
      </w:r>
      <w:r w:rsidR="006A7342">
        <w:rPr>
          <w:rFonts w:ascii="Arial" w:hAnsi="Arial"/>
        </w:rPr>
        <w:t xml:space="preserve"> then </w:t>
      </w:r>
      <w:r w:rsidR="007B6E48">
        <w:rPr>
          <w:rFonts w:ascii="Arial" w:hAnsi="Arial"/>
        </w:rPr>
        <w:t>the SCG activation/deactivation feature may not</w:t>
      </w:r>
      <w:r w:rsidR="00421813">
        <w:rPr>
          <w:rFonts w:ascii="Arial" w:hAnsi="Arial"/>
        </w:rPr>
        <w:t xml:space="preserve"> </w:t>
      </w:r>
      <w:r w:rsidR="009963E9">
        <w:rPr>
          <w:rFonts w:ascii="Arial" w:hAnsi="Arial"/>
        </w:rPr>
        <w:t>give</w:t>
      </w:r>
      <w:r w:rsidR="00FD37FE">
        <w:rPr>
          <w:rFonts w:ascii="Arial" w:hAnsi="Arial"/>
        </w:rPr>
        <w:t xml:space="preserve"> much benefits</w:t>
      </w:r>
      <w:r w:rsidR="00ED4CDF">
        <w:rPr>
          <w:rFonts w:ascii="Arial" w:hAnsi="Arial"/>
        </w:rPr>
        <w:t>)</w:t>
      </w:r>
      <w:r w:rsidR="00276052">
        <w:rPr>
          <w:rFonts w:ascii="Arial" w:hAnsi="Arial"/>
        </w:rPr>
        <w:t xml:space="preserve">. </w:t>
      </w:r>
    </w:p>
    <w:p w14:paraId="4328EB1B" w14:textId="77777777" w:rsidR="007E2CBD" w:rsidRDefault="007E2CBD" w:rsidP="007E2CBD">
      <w:pPr>
        <w:pStyle w:val="Proposal"/>
        <w:numPr>
          <w:ilvl w:val="0"/>
          <w:numId w:val="28"/>
        </w:numPr>
        <w:tabs>
          <w:tab w:val="clear" w:pos="1304"/>
        </w:tabs>
        <w:overflowPunct/>
        <w:autoSpaceDE/>
        <w:autoSpaceDN/>
        <w:adjustRightInd/>
        <w:spacing w:line="256" w:lineRule="auto"/>
        <w:ind w:left="1701" w:hanging="1701"/>
        <w:textAlignment w:val="auto"/>
      </w:pPr>
      <w:bookmarkStart w:id="10" w:name="_Toc163203603"/>
      <w:bookmarkStart w:id="11" w:name="_Toc165982616"/>
      <w:bookmarkStart w:id="12" w:name="_Toc166229571"/>
      <w:bookmarkStart w:id="13" w:name="_Hlk130915361"/>
      <w:r>
        <w:t>For each PSCell entry of the MHI, log the number of times the SCG state has switched between activated and deactivated during the stay in the PSCell.</w:t>
      </w:r>
      <w:bookmarkEnd w:id="10"/>
      <w:bookmarkEnd w:id="11"/>
      <w:bookmarkEnd w:id="12"/>
    </w:p>
    <w:p w14:paraId="3E533C16" w14:textId="459D62A9" w:rsidR="00365FE3" w:rsidRDefault="00365FE3" w:rsidP="00365FE3">
      <w:pPr>
        <w:pStyle w:val="Heading2"/>
        <w:numPr>
          <w:ilvl w:val="1"/>
          <w:numId w:val="24"/>
        </w:numPr>
      </w:pPr>
      <w:r>
        <w:t>RACH report logging in case of SDT</w:t>
      </w:r>
      <w:bookmarkEnd w:id="13"/>
    </w:p>
    <w:p w14:paraId="188D71A9" w14:textId="46EEB593" w:rsidR="00F061C0" w:rsidRDefault="00DE2C9C" w:rsidP="00A973D4">
      <w:pPr>
        <w:rPr>
          <w:rFonts w:ascii="Arial" w:hAnsi="Arial"/>
          <w:lang w:eastAsia="zh-CN"/>
        </w:rPr>
      </w:pPr>
      <w:r>
        <w:rPr>
          <w:rFonts w:ascii="Arial" w:hAnsi="Arial"/>
          <w:lang w:eastAsia="zh-CN"/>
        </w:rPr>
        <w:t>In Rel.18, it was introduced an enhancement in RA-Report</w:t>
      </w:r>
      <w:r w:rsidR="00435439">
        <w:rPr>
          <w:rFonts w:ascii="Arial" w:hAnsi="Arial"/>
          <w:lang w:eastAsia="zh-CN"/>
        </w:rPr>
        <w:t xml:space="preserve">, such that the UE logs in the RA-Report </w:t>
      </w:r>
      <w:r w:rsidR="0081711A">
        <w:rPr>
          <w:rFonts w:ascii="Arial" w:hAnsi="Arial"/>
          <w:lang w:eastAsia="zh-CN"/>
        </w:rPr>
        <w:t xml:space="preserve">an information on whether the </w:t>
      </w:r>
      <w:r w:rsidR="00845349">
        <w:rPr>
          <w:rFonts w:ascii="Arial" w:hAnsi="Arial"/>
          <w:lang w:eastAsia="zh-CN"/>
        </w:rPr>
        <w:t>SDT procedure</w:t>
      </w:r>
      <w:r w:rsidR="00C47328">
        <w:rPr>
          <w:rFonts w:ascii="Arial" w:hAnsi="Arial"/>
          <w:lang w:eastAsia="zh-CN"/>
        </w:rPr>
        <w:t>, related to which the random access was initiated,</w:t>
      </w:r>
      <w:r w:rsidR="00845349">
        <w:rPr>
          <w:rFonts w:ascii="Arial" w:hAnsi="Arial"/>
          <w:lang w:eastAsia="zh-CN"/>
        </w:rPr>
        <w:t xml:space="preserve"> failed. </w:t>
      </w:r>
      <w:r w:rsidR="00C47328">
        <w:rPr>
          <w:rFonts w:ascii="Arial" w:hAnsi="Arial"/>
          <w:lang w:eastAsia="zh-CN"/>
        </w:rPr>
        <w:t>The reason</w:t>
      </w:r>
      <w:r w:rsidR="001D3D3A">
        <w:rPr>
          <w:rFonts w:ascii="Arial" w:hAnsi="Arial"/>
          <w:lang w:eastAsia="zh-CN"/>
        </w:rPr>
        <w:t>s</w:t>
      </w:r>
      <w:r w:rsidR="00C47328">
        <w:rPr>
          <w:rFonts w:ascii="Arial" w:hAnsi="Arial"/>
          <w:lang w:eastAsia="zh-CN"/>
        </w:rPr>
        <w:t xml:space="preserve"> for failing the SDT can be several, </w:t>
      </w:r>
      <w:r w:rsidR="002A7EBA">
        <w:rPr>
          <w:rFonts w:ascii="Arial" w:hAnsi="Arial"/>
          <w:lang w:eastAsia="zh-CN"/>
        </w:rPr>
        <w:t xml:space="preserve">e.g. </w:t>
      </w:r>
      <w:r w:rsidR="00025529">
        <w:rPr>
          <w:rFonts w:ascii="Arial" w:hAnsi="Arial"/>
          <w:lang w:eastAsia="zh-CN"/>
        </w:rPr>
        <w:t xml:space="preserve">T319a timer expiry, </w:t>
      </w:r>
      <w:r w:rsidR="00877ABE" w:rsidRPr="0066178B">
        <w:rPr>
          <w:rFonts w:ascii="Arial" w:hAnsi="Arial"/>
          <w:lang w:eastAsia="zh-CN"/>
        </w:rPr>
        <w:t xml:space="preserve">maximum PRACH preamble transmission attempts reached, etc, and they are listed in TS 38.300. </w:t>
      </w:r>
      <w:r w:rsidR="00845349">
        <w:rPr>
          <w:rFonts w:ascii="Arial" w:hAnsi="Arial"/>
          <w:lang w:eastAsia="zh-CN"/>
        </w:rPr>
        <w:t>However</w:t>
      </w:r>
      <w:r w:rsidR="004A7369">
        <w:rPr>
          <w:rFonts w:ascii="Arial" w:hAnsi="Arial"/>
          <w:lang w:eastAsia="zh-CN"/>
        </w:rPr>
        <w:t>,</w:t>
      </w:r>
      <w:r w:rsidR="00C47328">
        <w:rPr>
          <w:rFonts w:ascii="Arial" w:hAnsi="Arial"/>
          <w:lang w:eastAsia="zh-CN"/>
        </w:rPr>
        <w:t xml:space="preserve"> if the SDT procedure was not initiated </w:t>
      </w:r>
      <w:r w:rsidR="00877ABE">
        <w:rPr>
          <w:rFonts w:ascii="Arial" w:hAnsi="Arial"/>
          <w:lang w:eastAsia="zh-CN"/>
        </w:rPr>
        <w:t xml:space="preserve">at all, no information </w:t>
      </w:r>
      <w:r w:rsidR="002C2253">
        <w:rPr>
          <w:rFonts w:ascii="Arial" w:hAnsi="Arial"/>
          <w:lang w:eastAsia="zh-CN"/>
        </w:rPr>
        <w:t>is</w:t>
      </w:r>
      <w:r w:rsidR="00877ABE">
        <w:rPr>
          <w:rFonts w:ascii="Arial" w:hAnsi="Arial"/>
          <w:lang w:eastAsia="zh-CN"/>
        </w:rPr>
        <w:t xml:space="preserve"> logged in the</w:t>
      </w:r>
      <w:r w:rsidR="00295364">
        <w:rPr>
          <w:rFonts w:ascii="Arial" w:hAnsi="Arial"/>
          <w:lang w:eastAsia="zh-CN"/>
        </w:rPr>
        <w:t xml:space="preserve"> RA-Report. For example,</w:t>
      </w:r>
      <w:r w:rsidR="00C664CC">
        <w:rPr>
          <w:rFonts w:ascii="Arial" w:hAnsi="Arial"/>
          <w:lang w:eastAsia="zh-CN"/>
        </w:rPr>
        <w:t xml:space="preserve"> the SDT procedure is not initiated at all if</w:t>
      </w:r>
      <w:r w:rsidR="00295364">
        <w:rPr>
          <w:rFonts w:ascii="Arial" w:hAnsi="Arial"/>
          <w:lang w:eastAsia="zh-CN"/>
        </w:rPr>
        <w:t xml:space="preserve"> the measure</w:t>
      </w:r>
      <w:r w:rsidR="00D03A6C">
        <w:rPr>
          <w:rFonts w:ascii="Arial" w:hAnsi="Arial"/>
          <w:lang w:eastAsia="zh-CN"/>
        </w:rPr>
        <w:t>d</w:t>
      </w:r>
      <w:r w:rsidR="00295364">
        <w:rPr>
          <w:rFonts w:ascii="Arial" w:hAnsi="Arial"/>
          <w:lang w:eastAsia="zh-CN"/>
        </w:rPr>
        <w:t xml:space="preserve"> RSRP valu</w:t>
      </w:r>
      <w:r w:rsidR="000F269A">
        <w:rPr>
          <w:rFonts w:ascii="Arial" w:hAnsi="Arial"/>
          <w:lang w:eastAsia="zh-CN"/>
        </w:rPr>
        <w:t xml:space="preserve">e at the time of initiating the RA is below a certain threshold, or </w:t>
      </w:r>
      <w:r w:rsidR="0045129C">
        <w:rPr>
          <w:rFonts w:ascii="Arial" w:hAnsi="Arial"/>
          <w:lang w:eastAsia="zh-CN"/>
        </w:rPr>
        <w:t xml:space="preserve">if </w:t>
      </w:r>
      <w:r w:rsidR="000F269A">
        <w:rPr>
          <w:rFonts w:ascii="Arial" w:hAnsi="Arial"/>
          <w:lang w:eastAsia="zh-CN"/>
        </w:rPr>
        <w:t>the amount of data</w:t>
      </w:r>
      <w:r w:rsidR="00090A97">
        <w:rPr>
          <w:rFonts w:ascii="Arial" w:hAnsi="Arial"/>
          <w:lang w:eastAsia="zh-CN"/>
        </w:rPr>
        <w:t xml:space="preserve"> in the buffer is too large to initiate an RA procedure for SDT</w:t>
      </w:r>
      <w:r w:rsidR="00F061C0">
        <w:rPr>
          <w:rFonts w:ascii="Arial" w:hAnsi="Arial"/>
          <w:lang w:eastAsia="zh-CN"/>
        </w:rPr>
        <w:t>:</w:t>
      </w:r>
    </w:p>
    <w:p w14:paraId="21BA0AAB" w14:textId="3586C2EA" w:rsidR="00F061C0" w:rsidRDefault="00F061C0" w:rsidP="00F061C0">
      <w:pPr>
        <w:rPr>
          <w:rFonts w:ascii="Arial" w:hAnsi="Arial" w:cs="Arial"/>
        </w:rPr>
      </w:pPr>
      <w:r w:rsidRPr="00DC59ED">
        <w:rPr>
          <w:rFonts w:ascii="Arial" w:hAnsi="Arial" w:cs="Arial"/>
          <w:b/>
          <w:bCs/>
        </w:rPr>
        <w:t>Scenario 1:</w:t>
      </w:r>
      <w:r>
        <w:rPr>
          <w:rFonts w:ascii="Arial" w:hAnsi="Arial" w:cs="Arial"/>
        </w:rPr>
        <w:t xml:space="preserve"> The pending data volume may be </w:t>
      </w:r>
      <w:r w:rsidR="0045129C">
        <w:rPr>
          <w:rFonts w:ascii="Arial" w:hAnsi="Arial" w:cs="Arial"/>
        </w:rPr>
        <w:t>lower</w:t>
      </w:r>
      <w:r>
        <w:rPr>
          <w:rFonts w:ascii="Arial" w:hAnsi="Arial" w:cs="Arial"/>
        </w:rPr>
        <w:t xml:space="preserve"> than the threshold, however, the RSRP value is </w:t>
      </w:r>
      <w:r w:rsidR="0045129C">
        <w:rPr>
          <w:rFonts w:ascii="Arial" w:hAnsi="Arial" w:cs="Arial"/>
        </w:rPr>
        <w:t>lowe</w:t>
      </w:r>
      <w:r>
        <w:rPr>
          <w:rFonts w:ascii="Arial" w:hAnsi="Arial" w:cs="Arial"/>
        </w:rPr>
        <w:t>r than the threshold. Thus, the UE is not able to perform SDT due to</w:t>
      </w:r>
      <w:r w:rsidR="005C1B60">
        <w:rPr>
          <w:rFonts w:ascii="Arial" w:hAnsi="Arial" w:cs="Arial"/>
        </w:rPr>
        <w:t>o</w:t>
      </w:r>
      <w:r w:rsidR="000D4880">
        <w:rPr>
          <w:rFonts w:ascii="Arial" w:hAnsi="Arial" w:cs="Arial"/>
        </w:rPr>
        <w:t xml:space="preserve"> bad radio conditions</w:t>
      </w:r>
      <w:r>
        <w:rPr>
          <w:rFonts w:ascii="Arial" w:hAnsi="Arial" w:cs="Arial"/>
        </w:rPr>
        <w:t>.</w:t>
      </w:r>
    </w:p>
    <w:p w14:paraId="6841C22C" w14:textId="21E62BF1" w:rsidR="003865EC" w:rsidRDefault="00F061C0" w:rsidP="00A973D4">
      <w:pPr>
        <w:rPr>
          <w:rFonts w:ascii="Arial" w:hAnsi="Arial" w:cs="Arial"/>
        </w:rPr>
      </w:pPr>
      <w:r w:rsidRPr="00DC59ED">
        <w:rPr>
          <w:rFonts w:ascii="Arial" w:hAnsi="Arial" w:cs="Arial"/>
          <w:b/>
          <w:bCs/>
        </w:rPr>
        <w:t xml:space="preserve">Scenario </w:t>
      </w:r>
      <w:r>
        <w:rPr>
          <w:rFonts w:ascii="Arial" w:hAnsi="Arial" w:cs="Arial"/>
          <w:b/>
          <w:bCs/>
        </w:rPr>
        <w:t>2</w:t>
      </w:r>
      <w:r w:rsidRPr="00DC59ED">
        <w:rPr>
          <w:rFonts w:ascii="Arial" w:hAnsi="Arial" w:cs="Arial"/>
          <w:b/>
          <w:bCs/>
        </w:rPr>
        <w:t>:</w:t>
      </w:r>
      <w:r>
        <w:rPr>
          <w:rFonts w:ascii="Arial" w:hAnsi="Arial" w:cs="Arial"/>
        </w:rPr>
        <w:t xml:space="preserve"> The RSRP value is </w:t>
      </w:r>
      <w:r w:rsidR="00D876AF">
        <w:rPr>
          <w:rFonts w:ascii="Arial" w:hAnsi="Arial" w:cs="Arial"/>
        </w:rPr>
        <w:t>higher</w:t>
      </w:r>
      <w:r>
        <w:rPr>
          <w:rFonts w:ascii="Arial" w:hAnsi="Arial" w:cs="Arial"/>
        </w:rPr>
        <w:t xml:space="preserve"> than the threshold, however, the pending data volume is</w:t>
      </w:r>
      <w:r w:rsidR="00D876AF">
        <w:rPr>
          <w:rFonts w:ascii="Arial" w:hAnsi="Arial" w:cs="Arial"/>
        </w:rPr>
        <w:t xml:space="preserve"> higher</w:t>
      </w:r>
      <w:r>
        <w:rPr>
          <w:rFonts w:ascii="Arial" w:hAnsi="Arial" w:cs="Arial"/>
        </w:rPr>
        <w:t xml:space="preserve"> than the threshold. Thus, the UE is not able to perform SDT due to </w:t>
      </w:r>
      <w:r w:rsidR="005C1B60">
        <w:rPr>
          <w:rFonts w:ascii="Arial" w:hAnsi="Arial" w:cs="Arial"/>
        </w:rPr>
        <w:t>too high data volume in the buffer</w:t>
      </w:r>
      <w:r>
        <w:rPr>
          <w:rFonts w:ascii="Arial" w:hAnsi="Arial" w:cs="Arial"/>
        </w:rPr>
        <w:t>.</w:t>
      </w:r>
    </w:p>
    <w:p w14:paraId="46FF250E" w14:textId="72FB5183" w:rsidR="003865EC" w:rsidRDefault="003865EC" w:rsidP="00A973D4">
      <w:pPr>
        <w:rPr>
          <w:rFonts w:ascii="Arial" w:hAnsi="Arial" w:cs="Arial"/>
        </w:rPr>
      </w:pPr>
      <w:r>
        <w:rPr>
          <w:rFonts w:ascii="Arial" w:hAnsi="Arial" w:cs="Arial"/>
        </w:rPr>
        <w:t xml:space="preserve">Additionally, RA resources could be used instead of CG-SDT in case conditions for using CG-SDT are not fulfilled, e.g. </w:t>
      </w:r>
      <w:r w:rsidR="007D330F" w:rsidRPr="0066178B">
        <w:rPr>
          <w:rFonts w:ascii="Arial" w:hAnsi="Arial" w:cs="Arial"/>
        </w:rPr>
        <w:t>TA for CG-SDT not valid, RSRP measured level smaller than the CG-SDT RSRP threshold, or the next occasion for CG-SDT is too far away in time.</w:t>
      </w:r>
    </w:p>
    <w:p w14:paraId="6542993C" w14:textId="33813CFA" w:rsidR="00F65202" w:rsidRDefault="00090A97" w:rsidP="00A973D4">
      <w:pPr>
        <w:rPr>
          <w:rFonts w:ascii="Arial" w:hAnsi="Arial" w:cs="Arial"/>
        </w:rPr>
      </w:pPr>
      <w:r>
        <w:rPr>
          <w:rFonts w:ascii="Arial" w:hAnsi="Arial" w:cs="Arial"/>
        </w:rPr>
        <w:t xml:space="preserve">Hence, </w:t>
      </w:r>
      <w:r w:rsidR="007D330F">
        <w:rPr>
          <w:rFonts w:ascii="Arial" w:hAnsi="Arial" w:cs="Arial"/>
        </w:rPr>
        <w:t xml:space="preserve">in all these cases, </w:t>
      </w:r>
      <w:r>
        <w:rPr>
          <w:rFonts w:ascii="Arial" w:hAnsi="Arial" w:cs="Arial"/>
        </w:rPr>
        <w:t>a UE despite network having configur</w:t>
      </w:r>
      <w:r w:rsidR="00D63FF5">
        <w:rPr>
          <w:rFonts w:ascii="Arial" w:hAnsi="Arial" w:cs="Arial"/>
        </w:rPr>
        <w:t xml:space="preserve">ed </w:t>
      </w:r>
      <w:r>
        <w:rPr>
          <w:rFonts w:ascii="Arial" w:hAnsi="Arial" w:cs="Arial"/>
        </w:rPr>
        <w:t>RACH preambles for SDT</w:t>
      </w:r>
      <w:r w:rsidR="007D330F">
        <w:rPr>
          <w:rFonts w:ascii="Arial" w:hAnsi="Arial" w:cs="Arial"/>
        </w:rPr>
        <w:t xml:space="preserve"> (or CG-SDT)</w:t>
      </w:r>
      <w:r>
        <w:rPr>
          <w:rFonts w:ascii="Arial" w:hAnsi="Arial" w:cs="Arial"/>
        </w:rPr>
        <w:t xml:space="preserve">, may use the common RACH resources to perform RACH procedure </w:t>
      </w:r>
      <w:r w:rsidR="00D63FF5">
        <w:rPr>
          <w:rFonts w:ascii="Arial" w:hAnsi="Arial" w:cs="Arial"/>
        </w:rPr>
        <w:t>rather than RA-SDT</w:t>
      </w:r>
      <w:r w:rsidR="00352D28">
        <w:rPr>
          <w:rFonts w:ascii="Arial" w:hAnsi="Arial" w:cs="Arial"/>
        </w:rPr>
        <w:t xml:space="preserve"> (or the CG-SDT)</w:t>
      </w:r>
      <w:r>
        <w:rPr>
          <w:rFonts w:ascii="Arial" w:hAnsi="Arial" w:cs="Arial"/>
        </w:rPr>
        <w:t>.</w:t>
      </w:r>
      <w:r w:rsidR="00D63FF5">
        <w:rPr>
          <w:rFonts w:ascii="Arial" w:hAnsi="Arial" w:cs="Arial"/>
        </w:rPr>
        <w:t xml:space="preserve"> </w:t>
      </w:r>
      <w:r w:rsidR="00526DD4">
        <w:rPr>
          <w:rFonts w:ascii="Arial" w:hAnsi="Arial" w:cs="Arial"/>
        </w:rPr>
        <w:t xml:space="preserve">In this case, the </w:t>
      </w:r>
      <w:r w:rsidR="00BF5557">
        <w:rPr>
          <w:rFonts w:ascii="Arial" w:hAnsi="Arial" w:cs="Arial"/>
        </w:rPr>
        <w:t>RA-Report does not contain any information related to the fact that the UE used the common RACH resources rather than the RA-SDT resources</w:t>
      </w:r>
      <w:r w:rsidR="00C23690">
        <w:rPr>
          <w:rFonts w:ascii="Arial" w:hAnsi="Arial" w:cs="Arial"/>
        </w:rPr>
        <w:t xml:space="preserve"> (or CG-SDT)</w:t>
      </w:r>
      <w:r w:rsidR="00F061C0">
        <w:rPr>
          <w:rFonts w:ascii="Arial" w:hAnsi="Arial" w:cs="Arial"/>
        </w:rPr>
        <w:t xml:space="preserve">. </w:t>
      </w:r>
      <w:r w:rsidR="002620DB">
        <w:rPr>
          <w:rFonts w:ascii="Arial" w:hAnsi="Arial" w:cs="Arial"/>
        </w:rPr>
        <w:t>It is beneficial for the network to gather information regarding the number of UEs intended to initiate SDT but failing to initiate. Equipped with this information, network may adjust the thresholds to perform optimization.</w:t>
      </w:r>
    </w:p>
    <w:p w14:paraId="395DBFAB" w14:textId="5A12BFDC" w:rsidR="002620DB" w:rsidRPr="00C92E20" w:rsidRDefault="002620DB" w:rsidP="002620DB">
      <w:pPr>
        <w:pStyle w:val="Proposal"/>
        <w:tabs>
          <w:tab w:val="num" w:pos="1304"/>
        </w:tabs>
        <w:ind w:left="1304" w:hanging="1304"/>
        <w:jc w:val="left"/>
        <w:rPr>
          <w:rFonts w:cs="Arial"/>
        </w:rPr>
      </w:pPr>
      <w:bookmarkStart w:id="14" w:name="_Toc165982617"/>
      <w:bookmarkStart w:id="15" w:name="_Toc166229572"/>
      <w:r w:rsidRPr="00C92E20">
        <w:rPr>
          <w:rFonts w:cs="Arial"/>
          <w:lang w:val="en-US"/>
        </w:rPr>
        <w:t xml:space="preserve">UE includes in the RA-Report an indication that </w:t>
      </w:r>
      <w:r w:rsidR="008E5E35">
        <w:rPr>
          <w:rFonts w:cs="Arial"/>
          <w:lang w:val="en-US"/>
        </w:rPr>
        <w:t xml:space="preserve">the UE was configured with SDT, and that an SDT procedure was initiated by upper layers, but </w:t>
      </w:r>
      <w:r w:rsidRPr="00C92E20">
        <w:rPr>
          <w:rFonts w:cs="Arial"/>
          <w:lang w:val="en-US"/>
        </w:rPr>
        <w:t>RA-SDT preambles</w:t>
      </w:r>
      <w:r w:rsidR="008E5E35">
        <w:rPr>
          <w:rFonts w:cs="Arial"/>
          <w:lang w:val="en-US"/>
        </w:rPr>
        <w:t xml:space="preserve"> </w:t>
      </w:r>
      <w:r w:rsidR="00496681">
        <w:rPr>
          <w:rFonts w:cs="Arial"/>
          <w:lang w:val="en-US"/>
        </w:rPr>
        <w:t xml:space="preserve">or CG-SDT resources </w:t>
      </w:r>
      <w:r w:rsidR="008E5E35">
        <w:rPr>
          <w:rFonts w:cs="Arial"/>
          <w:lang w:val="en-US"/>
        </w:rPr>
        <w:t>could not be used</w:t>
      </w:r>
      <w:r w:rsidRPr="00C92E20">
        <w:rPr>
          <w:rFonts w:cs="Arial"/>
          <w:lang w:val="en-US"/>
        </w:rPr>
        <w:t>.</w:t>
      </w:r>
      <w:bookmarkEnd w:id="14"/>
      <w:bookmarkEnd w:id="15"/>
    </w:p>
    <w:p w14:paraId="5C8ECE4F" w14:textId="1C575116" w:rsidR="002620DB" w:rsidRPr="00145F74" w:rsidRDefault="002620DB" w:rsidP="002620DB">
      <w:pPr>
        <w:pStyle w:val="Proposal"/>
        <w:tabs>
          <w:tab w:val="num" w:pos="1304"/>
        </w:tabs>
        <w:ind w:left="1304" w:hanging="1304"/>
        <w:jc w:val="left"/>
        <w:rPr>
          <w:rFonts w:cs="Arial"/>
          <w:sz w:val="18"/>
          <w:szCs w:val="18"/>
        </w:rPr>
      </w:pPr>
      <w:bookmarkStart w:id="16" w:name="_Toc165982618"/>
      <w:bookmarkStart w:id="17" w:name="_Toc166229573"/>
      <w:r w:rsidRPr="00892C87">
        <w:rPr>
          <w:rFonts w:cs="Arial"/>
          <w:lang w:val="en-US"/>
        </w:rPr>
        <w:lastRenderedPageBreak/>
        <w:t xml:space="preserve">UE </w:t>
      </w:r>
      <w:r>
        <w:rPr>
          <w:rFonts w:cs="Arial"/>
          <w:lang w:val="en-US"/>
        </w:rPr>
        <w:t>includes in the RA-Report</w:t>
      </w:r>
      <w:r w:rsidRPr="00892C87">
        <w:rPr>
          <w:rFonts w:cs="Arial"/>
          <w:lang w:val="en-US"/>
        </w:rPr>
        <w:t xml:space="preserve"> </w:t>
      </w:r>
      <w:r>
        <w:rPr>
          <w:rFonts w:cs="Arial"/>
          <w:lang w:val="en-US"/>
        </w:rPr>
        <w:t>indications regarding the reason why it could not perform SDT, e.g., indications on whether the data volume threshold or the RSRP threshold was not met</w:t>
      </w:r>
      <w:r w:rsidR="00D35F9A">
        <w:rPr>
          <w:rFonts w:cs="Arial"/>
          <w:lang w:val="en-US"/>
        </w:rPr>
        <w:t>, CG-SDT conditions not fulfilled.</w:t>
      </w:r>
      <w:bookmarkEnd w:id="16"/>
      <w:bookmarkEnd w:id="17"/>
    </w:p>
    <w:p w14:paraId="3F325CF3" w14:textId="0A600BEC" w:rsidR="002B4F9F" w:rsidRDefault="002B4F9F" w:rsidP="00A973D4">
      <w:pPr>
        <w:rPr>
          <w:rFonts w:ascii="Arial" w:hAnsi="Arial"/>
          <w:lang w:eastAsia="zh-CN"/>
        </w:rPr>
      </w:pPr>
      <w:r>
        <w:rPr>
          <w:rFonts w:ascii="Arial" w:hAnsi="Arial"/>
          <w:lang w:eastAsia="zh-CN"/>
        </w:rPr>
        <w:t>Assuming that the reasons for not initiating SDT at MAC level can be included in the RA-Report, as per the above proposals, a</w:t>
      </w:r>
      <w:r w:rsidR="00365FE3" w:rsidRPr="00DB0C16">
        <w:rPr>
          <w:rFonts w:ascii="Arial" w:hAnsi="Arial"/>
          <w:lang w:eastAsia="zh-CN"/>
        </w:rPr>
        <w:t xml:space="preserve">n important aspect </w:t>
      </w:r>
      <w:r>
        <w:rPr>
          <w:rFonts w:ascii="Arial" w:hAnsi="Arial"/>
          <w:lang w:eastAsia="zh-CN"/>
        </w:rPr>
        <w:t xml:space="preserve">of RA optimization is how to properly configure </w:t>
      </w:r>
      <w:r w:rsidR="00365FE3" w:rsidRPr="00DB0C16">
        <w:rPr>
          <w:rFonts w:ascii="Arial" w:hAnsi="Arial"/>
          <w:lang w:eastAsia="zh-CN"/>
        </w:rPr>
        <w:t>the SDT</w:t>
      </w:r>
      <w:r>
        <w:rPr>
          <w:rFonts w:ascii="Arial" w:hAnsi="Arial"/>
          <w:lang w:eastAsia="zh-CN"/>
        </w:rPr>
        <w:t xml:space="preserve">. </w:t>
      </w:r>
    </w:p>
    <w:p w14:paraId="3C2DCD5D" w14:textId="09035797" w:rsidR="00FF6791" w:rsidRDefault="002B4F9F" w:rsidP="00A973D4">
      <w:pPr>
        <w:rPr>
          <w:rFonts w:ascii="Arial" w:hAnsi="Arial"/>
          <w:lang w:eastAsia="zh-CN"/>
        </w:rPr>
      </w:pPr>
      <w:r>
        <w:rPr>
          <w:rFonts w:ascii="Arial" w:hAnsi="Arial"/>
          <w:lang w:eastAsia="zh-CN"/>
        </w:rPr>
        <w:t xml:space="preserve">For example, </w:t>
      </w:r>
      <w:r w:rsidR="00120269">
        <w:rPr>
          <w:rFonts w:ascii="Arial" w:hAnsi="Arial"/>
          <w:lang w:eastAsia="zh-CN"/>
        </w:rPr>
        <w:t>the</w:t>
      </w:r>
      <w:r>
        <w:rPr>
          <w:rFonts w:ascii="Arial" w:hAnsi="Arial"/>
          <w:lang w:eastAsia="zh-CN"/>
        </w:rPr>
        <w:t xml:space="preserve"> optimization of t</w:t>
      </w:r>
      <w:r w:rsidR="00365FE3" w:rsidRPr="00DB0C16">
        <w:rPr>
          <w:rFonts w:ascii="Arial" w:hAnsi="Arial"/>
          <w:lang w:eastAsia="zh-CN"/>
        </w:rPr>
        <w:t xml:space="preserve">he size of the threshold </w:t>
      </w:r>
      <w:r>
        <w:rPr>
          <w:rFonts w:ascii="Arial" w:hAnsi="Arial"/>
          <w:lang w:eastAsia="zh-CN"/>
        </w:rPr>
        <w:t>on</w:t>
      </w:r>
      <w:r w:rsidR="00365FE3" w:rsidRPr="00DB0C16">
        <w:rPr>
          <w:rFonts w:ascii="Arial" w:hAnsi="Arial"/>
          <w:lang w:eastAsia="zh-CN"/>
        </w:rPr>
        <w:t xml:space="preserve"> the data volume i.e., the threshold referred to as sdt-DataVolumeThreshold in TS 38.331</w:t>
      </w:r>
      <w:r>
        <w:rPr>
          <w:rFonts w:ascii="Arial" w:hAnsi="Arial"/>
          <w:lang w:eastAsia="zh-CN"/>
        </w:rPr>
        <w:t>, could be important</w:t>
      </w:r>
      <w:r w:rsidR="00365FE3" w:rsidRPr="00DB0C16">
        <w:rPr>
          <w:rFonts w:ascii="Arial" w:hAnsi="Arial"/>
          <w:lang w:eastAsia="zh-CN"/>
        </w:rPr>
        <w:t>. A UE initiates RACH procedure for SDT purpose if the pending data volume is smaller than or equal to the SDT data volume threshold sdt-DataVolumeThreshold. Hence, the UE will not include any information in the RA report for the times when the pending data volume was greater than the SDT data volume threshold, and consequently the network will not get any feedback information from those cases and would not be able to optimize SDT data volume threshold. Thus, we propose to include the amount of data above the SDT threshold in the RA report</w:t>
      </w:r>
      <w:r w:rsidR="0001103C" w:rsidRPr="00433FA8">
        <w:rPr>
          <w:rFonts w:ascii="Arial" w:hAnsi="Arial"/>
          <w:lang w:eastAsia="zh-CN"/>
        </w:rPr>
        <w:t xml:space="preserve">, so that the network can potentially adjust the </w:t>
      </w:r>
      <w:r w:rsidR="00796C97" w:rsidRPr="00433FA8">
        <w:rPr>
          <w:rFonts w:ascii="Arial" w:hAnsi="Arial"/>
          <w:lang w:eastAsia="zh-CN"/>
        </w:rPr>
        <w:t>threshold.</w:t>
      </w:r>
    </w:p>
    <w:p w14:paraId="587EE334" w14:textId="051DC946" w:rsidR="00B52D2C" w:rsidRPr="00145F74" w:rsidRDefault="00F23937" w:rsidP="0066178B">
      <w:pPr>
        <w:pStyle w:val="Proposal"/>
        <w:rPr>
          <w:sz w:val="18"/>
          <w:szCs w:val="18"/>
        </w:rPr>
      </w:pPr>
      <w:bookmarkStart w:id="18" w:name="_Toc161909930"/>
      <w:bookmarkStart w:id="19" w:name="_Toc165982619"/>
      <w:bookmarkStart w:id="20" w:name="_Toc166229574"/>
      <w:r w:rsidRPr="00892C87">
        <w:rPr>
          <w:lang w:val="en-US"/>
        </w:rPr>
        <w:t>UE reports</w:t>
      </w:r>
      <w:r w:rsidR="000A0078">
        <w:rPr>
          <w:lang w:val="en-US"/>
        </w:rPr>
        <w:t xml:space="preserve"> in the RA-Report</w:t>
      </w:r>
      <w:r w:rsidRPr="00892C87">
        <w:rPr>
          <w:lang w:val="en-US"/>
        </w:rPr>
        <w:t xml:space="preserve"> </w:t>
      </w:r>
      <w:r w:rsidR="0020012E">
        <w:rPr>
          <w:lang w:val="en-US"/>
        </w:rPr>
        <w:t xml:space="preserve">the amount of </w:t>
      </w:r>
      <w:r w:rsidRPr="00892C87">
        <w:rPr>
          <w:lang w:val="en-US"/>
        </w:rPr>
        <w:t>data</w:t>
      </w:r>
      <w:r>
        <w:rPr>
          <w:lang w:val="en-US"/>
        </w:rPr>
        <w:t xml:space="preserve"> </w:t>
      </w:r>
      <w:r w:rsidR="0020012E">
        <w:rPr>
          <w:lang w:val="en-US"/>
        </w:rPr>
        <w:t xml:space="preserve">above </w:t>
      </w:r>
      <w:r>
        <w:rPr>
          <w:lang w:val="en-US"/>
        </w:rPr>
        <w:t>th</w:t>
      </w:r>
      <w:r w:rsidR="0020012E">
        <w:rPr>
          <w:lang w:val="en-US"/>
        </w:rPr>
        <w:t>e</w:t>
      </w:r>
      <w:r>
        <w:rPr>
          <w:lang w:val="en-US"/>
        </w:rPr>
        <w:t xml:space="preserve"> </w:t>
      </w:r>
      <w:r w:rsidRPr="00797C7B">
        <w:rPr>
          <w:rStyle w:val="IvDbodytextChar"/>
          <w:i/>
        </w:rPr>
        <w:t>sdt-DataVolumeThreshold</w:t>
      </w:r>
      <w:r w:rsidRPr="00892C87">
        <w:rPr>
          <w:lang w:val="en-US"/>
        </w:rPr>
        <w:t>.</w:t>
      </w:r>
      <w:bookmarkEnd w:id="18"/>
      <w:bookmarkEnd w:id="19"/>
      <w:bookmarkEnd w:id="20"/>
    </w:p>
    <w:p w14:paraId="234FFBA8" w14:textId="62BF3980" w:rsidR="00E869CA" w:rsidRPr="002620DB" w:rsidRDefault="003F396E" w:rsidP="00E869CA">
      <w:r w:rsidRPr="0066178B">
        <w:rPr>
          <w:rFonts w:ascii="Arial" w:hAnsi="Arial" w:cs="Arial"/>
        </w:rPr>
        <w:t>Similarly</w:t>
      </w:r>
      <w:r w:rsidR="00B52D2C" w:rsidRPr="0066178B">
        <w:rPr>
          <w:rFonts w:ascii="Arial" w:hAnsi="Arial" w:cs="Arial"/>
        </w:rPr>
        <w:t>, the measured RSRP level could be important to optimize the RSRP threshold for the SDT procedure. That is already logged today for the case of 2-step RA, so the same IE could be reused in case the SDT procedure at the MAC entity could not be initiated due to the RSRP level being lower than the corresponding thre</w:t>
      </w:r>
      <w:r w:rsidR="00E869CA" w:rsidRPr="0066178B">
        <w:rPr>
          <w:rFonts w:ascii="Arial" w:hAnsi="Arial" w:cs="Arial"/>
        </w:rPr>
        <w:t>shold.</w:t>
      </w:r>
    </w:p>
    <w:p w14:paraId="0B70F3D8" w14:textId="01B850A4" w:rsidR="00DC59ED" w:rsidRPr="00145F74" w:rsidRDefault="00E869CA" w:rsidP="0066178B">
      <w:pPr>
        <w:pStyle w:val="Proposal"/>
      </w:pPr>
      <w:bookmarkStart w:id="21" w:name="_Toc165982620"/>
      <w:bookmarkStart w:id="22" w:name="_Toc166229575"/>
      <w:r w:rsidRPr="00892C87">
        <w:rPr>
          <w:lang w:val="en-US"/>
        </w:rPr>
        <w:t>UE reports</w:t>
      </w:r>
      <w:r>
        <w:rPr>
          <w:lang w:val="en-US"/>
        </w:rPr>
        <w:t xml:space="preserve"> in the RA-Report</w:t>
      </w:r>
      <w:r w:rsidRPr="00892C87">
        <w:rPr>
          <w:lang w:val="en-US"/>
        </w:rPr>
        <w:t xml:space="preserve"> </w:t>
      </w:r>
      <w:r>
        <w:rPr>
          <w:lang w:val="en-US"/>
        </w:rPr>
        <w:t>the measured RSRP level if SDT procedure was not initiated at MAC entity due to the measured RSRP being smaller than the corresponding configured threshold</w:t>
      </w:r>
      <w:r w:rsidRPr="00892C87">
        <w:rPr>
          <w:lang w:val="en-US"/>
        </w:rPr>
        <w:t>.</w:t>
      </w:r>
      <w:bookmarkEnd w:id="21"/>
      <w:bookmarkEnd w:id="22"/>
      <w:r>
        <w:rPr>
          <w:lang w:val="en-US"/>
        </w:rPr>
        <w:t xml:space="preserve"> </w:t>
      </w:r>
    </w:p>
    <w:p w14:paraId="190D36C7" w14:textId="5F1333A1" w:rsidR="00365FE3" w:rsidRDefault="00365FE3" w:rsidP="00365FE3">
      <w:pPr>
        <w:pStyle w:val="Heading2"/>
        <w:numPr>
          <w:ilvl w:val="1"/>
          <w:numId w:val="24"/>
        </w:numPr>
      </w:pPr>
      <w:r>
        <w:t>Enhancement of SCGFailureInformation</w:t>
      </w:r>
    </w:p>
    <w:p w14:paraId="14F30785" w14:textId="5D48315D" w:rsidR="00E107E4" w:rsidRDefault="00F02CCB" w:rsidP="00E107E4">
      <w:pPr>
        <w:rPr>
          <w:rFonts w:ascii="Arial" w:hAnsi="Arial" w:cs="Arial"/>
        </w:rPr>
      </w:pPr>
      <w:r w:rsidRPr="00E102E3">
        <w:rPr>
          <w:rFonts w:ascii="Arial" w:hAnsi="Arial" w:cs="Arial"/>
        </w:rPr>
        <w:t>A UE in</w:t>
      </w:r>
      <w:r>
        <w:rPr>
          <w:rFonts w:ascii="Arial" w:hAnsi="Arial" w:cs="Arial"/>
        </w:rPr>
        <w:t xml:space="preserve"> DC operation may </w:t>
      </w:r>
      <w:r w:rsidRPr="00AB3DA9">
        <w:rPr>
          <w:rFonts w:ascii="Arial" w:hAnsi="Arial" w:cs="Arial"/>
        </w:rPr>
        <w:t xml:space="preserve">experience SCG failure and transmit a </w:t>
      </w:r>
      <w:r w:rsidRPr="00AB3DA9">
        <w:rPr>
          <w:rFonts w:ascii="Arial" w:hAnsi="Arial" w:cs="Arial"/>
          <w:i/>
          <w:iCs/>
        </w:rPr>
        <w:t>SCGFailureInformation</w:t>
      </w:r>
      <w:r w:rsidRPr="00AB3DA9">
        <w:rPr>
          <w:rFonts w:ascii="Arial" w:hAnsi="Arial" w:cs="Arial"/>
        </w:rPr>
        <w:t xml:space="preserve"> message to the MN.</w:t>
      </w:r>
      <w:r w:rsidR="00F809F3">
        <w:rPr>
          <w:rFonts w:ascii="Arial" w:hAnsi="Arial" w:cs="Arial"/>
        </w:rPr>
        <w:t xml:space="preserve"> However,</w:t>
      </w:r>
      <w:r w:rsidR="00E107E4">
        <w:rPr>
          <w:rFonts w:ascii="Arial" w:hAnsi="Arial" w:cs="Arial"/>
        </w:rPr>
        <w:t xml:space="preserve"> if the MN is suspended or deactivated upon reception of </w:t>
      </w:r>
      <w:r w:rsidR="00E107E4" w:rsidRPr="00E102E3">
        <w:rPr>
          <w:rFonts w:ascii="Arial" w:hAnsi="Arial" w:cs="Arial"/>
          <w:i/>
          <w:iCs/>
        </w:rPr>
        <w:t>RRCReconfiguration</w:t>
      </w:r>
      <w:r w:rsidR="00E107E4">
        <w:rPr>
          <w:rFonts w:ascii="Arial" w:hAnsi="Arial" w:cs="Arial"/>
        </w:rPr>
        <w:t xml:space="preserve"> at the time of failure, UE would not be able to send the </w:t>
      </w:r>
      <w:r w:rsidR="00E107E4" w:rsidRPr="00E102E3">
        <w:rPr>
          <w:rFonts w:ascii="Arial" w:hAnsi="Arial" w:cs="Arial"/>
          <w:i/>
          <w:iCs/>
        </w:rPr>
        <w:t>SCGFailureInformation</w:t>
      </w:r>
      <w:r w:rsidR="00E107E4">
        <w:rPr>
          <w:rFonts w:ascii="Arial" w:hAnsi="Arial" w:cs="Arial"/>
        </w:rPr>
        <w:t xml:space="preserve"> to the MN</w:t>
      </w:r>
      <w:r w:rsidR="00F809F3">
        <w:rPr>
          <w:rFonts w:ascii="Arial" w:hAnsi="Arial" w:cs="Arial"/>
        </w:rPr>
        <w:t>, it would generate RLF report instead.</w:t>
      </w:r>
    </w:p>
    <w:p w14:paraId="4A744824" w14:textId="608899D4" w:rsidR="00E107E4" w:rsidRDefault="00E107E4" w:rsidP="00E107E4">
      <w:pPr>
        <w:pStyle w:val="Observation"/>
        <w:ind w:left="360" w:hanging="360"/>
      </w:pPr>
      <w:bookmarkStart w:id="23" w:name="_Toc161909927"/>
      <w:bookmarkStart w:id="24" w:name="_Toc166229581"/>
      <w:r>
        <w:t xml:space="preserve">If MN is suspended at the time of SCG failure, UE would not be able to transmit </w:t>
      </w:r>
      <w:r>
        <w:rPr>
          <w:i/>
          <w:iCs/>
        </w:rPr>
        <w:t>SCGFailureInformation</w:t>
      </w:r>
      <w:r>
        <w:t xml:space="preserve"> to MN</w:t>
      </w:r>
      <w:r w:rsidR="00070E67">
        <w:t>. The UE would</w:t>
      </w:r>
      <w:r>
        <w:t xml:space="preserve"> instead generate</w:t>
      </w:r>
      <w:r w:rsidR="00070E67">
        <w:t xml:space="preserve"> the</w:t>
      </w:r>
      <w:r>
        <w:t xml:space="preserve"> RLF report.</w:t>
      </w:r>
      <w:bookmarkEnd w:id="23"/>
      <w:bookmarkEnd w:id="24"/>
    </w:p>
    <w:p w14:paraId="3FCE6530" w14:textId="77777777" w:rsidR="00CE2BBC" w:rsidRDefault="00CE2BBC" w:rsidP="00E107E4">
      <w:pPr>
        <w:rPr>
          <w:rFonts w:ascii="Arial" w:hAnsi="Arial" w:cs="Arial"/>
        </w:rPr>
      </w:pPr>
    </w:p>
    <w:p w14:paraId="32025369" w14:textId="4D9DF50A" w:rsidR="00BB59BD" w:rsidRDefault="00E107E4" w:rsidP="00E107E4">
      <w:pPr>
        <w:rPr>
          <w:rFonts w:ascii="Arial" w:hAnsi="Arial" w:cs="Arial"/>
        </w:rPr>
      </w:pPr>
      <w:r>
        <w:rPr>
          <w:rFonts w:ascii="Arial" w:hAnsi="Arial" w:cs="Arial"/>
        </w:rPr>
        <w:t xml:space="preserve">If the UE is configured with CPA/CPC configuration, it would be important for network to retrieve those for future optimization purpose. </w:t>
      </w:r>
      <w:r w:rsidR="00BB59BD">
        <w:rPr>
          <w:rFonts w:ascii="Arial" w:hAnsi="Arial" w:cs="Arial"/>
        </w:rPr>
        <w:t>Furthermore, RLF report does not contain SCG related measurements. These could be added to RLF report avoiding any duplication of information.</w:t>
      </w:r>
    </w:p>
    <w:p w14:paraId="039E9297" w14:textId="508640EC" w:rsidR="00BA625F" w:rsidRDefault="00BA625F" w:rsidP="0066178B">
      <w:pPr>
        <w:pStyle w:val="Proposal"/>
      </w:pPr>
      <w:bookmarkStart w:id="25" w:name="_Toc165982621"/>
      <w:bookmarkStart w:id="26" w:name="_Toc166229576"/>
      <w:r>
        <w:t>UE includes the CPC/CPA configuration execution information and any measurement result collected due to SCG configuration in the RLF report.</w:t>
      </w:r>
      <w:bookmarkEnd w:id="25"/>
      <w:bookmarkEnd w:id="26"/>
    </w:p>
    <w:p w14:paraId="6E16FEA2" w14:textId="785BB785" w:rsidR="0053253F" w:rsidRPr="00B3151C" w:rsidRDefault="0001305F" w:rsidP="0053253F">
      <w:pPr>
        <w:rPr>
          <w:rFonts w:ascii="Arial" w:hAnsi="Arial" w:cs="Arial"/>
        </w:rPr>
      </w:pPr>
      <w:r>
        <w:rPr>
          <w:rFonts w:ascii="Arial" w:hAnsi="Arial" w:cs="Arial"/>
        </w:rPr>
        <w:t>Still r</w:t>
      </w:r>
      <w:r w:rsidR="00B3151C">
        <w:rPr>
          <w:rFonts w:ascii="Arial" w:hAnsi="Arial" w:cs="Arial"/>
        </w:rPr>
        <w:t>elated to this topic, t</w:t>
      </w:r>
      <w:r w:rsidR="00F00CA5" w:rsidRPr="00B3151C">
        <w:rPr>
          <w:rFonts w:ascii="Arial" w:hAnsi="Arial" w:cs="Arial"/>
        </w:rPr>
        <w:t xml:space="preserve">he following </w:t>
      </w:r>
      <w:r w:rsidR="00B3151C">
        <w:rPr>
          <w:rFonts w:ascii="Arial" w:hAnsi="Arial" w:cs="Arial"/>
        </w:rPr>
        <w:t xml:space="preserve">LS </w:t>
      </w:r>
      <w:r w:rsidR="00F00CA5" w:rsidRPr="00B3151C">
        <w:rPr>
          <w:rFonts w:ascii="Arial" w:hAnsi="Arial" w:cs="Arial"/>
        </w:rPr>
        <w:t xml:space="preserve">was </w:t>
      </w:r>
      <w:r w:rsidR="00B3151C">
        <w:rPr>
          <w:rFonts w:ascii="Arial" w:hAnsi="Arial" w:cs="Arial"/>
        </w:rPr>
        <w:t>received from</w:t>
      </w:r>
      <w:r w:rsidR="00F00CA5" w:rsidRPr="00B3151C">
        <w:rPr>
          <w:rFonts w:ascii="Arial" w:hAnsi="Arial" w:cs="Arial"/>
        </w:rPr>
        <w:t xml:space="preserve"> RAN3</w:t>
      </w:r>
      <w:r w:rsidR="00B3151C">
        <w:rPr>
          <w:rFonts w:ascii="Arial" w:hAnsi="Arial" w:cs="Arial"/>
        </w:rPr>
        <w:t xml:space="preserve">, in which RAN3 asks RAN2 if there are any plan for enhancing MRO for SCG failure in various MR-DC scenarios such as </w:t>
      </w:r>
      <w:r w:rsidR="00B3151C" w:rsidRPr="00B3151C">
        <w:rPr>
          <w:rFonts w:ascii="Arial" w:hAnsi="Arial" w:cs="Arial"/>
        </w:rPr>
        <w:t>EN-DC, NGEN-DC and NE-DC</w:t>
      </w:r>
      <w:r w:rsidR="00F00CA5" w:rsidRPr="00B3151C">
        <w:rPr>
          <w:rFonts w:ascii="Arial" w:hAnsi="Arial" w:cs="Arial"/>
        </w:rPr>
        <w:t>:</w:t>
      </w:r>
    </w:p>
    <w:tbl>
      <w:tblPr>
        <w:tblStyle w:val="TableGrid"/>
        <w:tblW w:w="0" w:type="auto"/>
        <w:tblLook w:val="04A0" w:firstRow="1" w:lastRow="0" w:firstColumn="1" w:lastColumn="0" w:noHBand="0" w:noVBand="1"/>
      </w:tblPr>
      <w:tblGrid>
        <w:gridCol w:w="9629"/>
      </w:tblGrid>
      <w:tr w:rsidR="00F00CA5" w14:paraId="2B037536" w14:textId="77777777" w:rsidTr="00F00CA5">
        <w:tc>
          <w:tcPr>
            <w:tcW w:w="9629" w:type="dxa"/>
          </w:tcPr>
          <w:p w14:paraId="70060176" w14:textId="184F7994" w:rsidR="00F00CA5" w:rsidRPr="00B3151C" w:rsidRDefault="007F6999" w:rsidP="0053253F">
            <w:pPr>
              <w:rPr>
                <w:rFonts w:ascii="Arial" w:eastAsia="Times New Roman" w:hAnsi="Arial" w:cs="Arial"/>
                <w:b/>
                <w:bCs/>
                <w:sz w:val="20"/>
                <w:szCs w:val="20"/>
                <w:u w:val="single"/>
                <w:lang w:val="en-GB"/>
              </w:rPr>
            </w:pPr>
            <w:r w:rsidRPr="00B3151C">
              <w:rPr>
                <w:rFonts w:ascii="Arial" w:hAnsi="Arial" w:cs="Arial"/>
                <w:b/>
                <w:bCs/>
                <w:u w:val="single"/>
              </w:rPr>
              <w:t xml:space="preserve">From </w:t>
            </w:r>
            <w:r w:rsidR="00444431" w:rsidRPr="00B3151C">
              <w:rPr>
                <w:rFonts w:ascii="Arial" w:hAnsi="Arial" w:cs="Arial"/>
                <w:b/>
                <w:bCs/>
                <w:u w:val="single"/>
              </w:rPr>
              <w:t xml:space="preserve">RAN3 LS </w:t>
            </w:r>
            <w:r w:rsidR="00D828BF" w:rsidRPr="00B3151C">
              <w:rPr>
                <w:rFonts w:ascii="Arial" w:hAnsi="Arial" w:cs="Arial"/>
                <w:b/>
                <w:bCs/>
                <w:u w:val="single"/>
              </w:rPr>
              <w:t>R3-2</w:t>
            </w:r>
            <w:r w:rsidR="00D828BF" w:rsidRPr="00B3151C">
              <w:rPr>
                <w:rFonts w:ascii="Arial" w:eastAsia="Times New Roman" w:hAnsi="Arial" w:cs="Arial"/>
                <w:b/>
                <w:bCs/>
                <w:u w:val="single"/>
                <w:lang w:val="en-GB"/>
              </w:rPr>
              <w:t>42195</w:t>
            </w:r>
            <w:r w:rsidRPr="00B3151C">
              <w:rPr>
                <w:rFonts w:ascii="Arial" w:hAnsi="Arial" w:cs="Arial"/>
                <w:b/>
                <w:bCs/>
                <w:u w:val="single"/>
              </w:rPr>
              <w:t>:</w:t>
            </w:r>
          </w:p>
          <w:p w14:paraId="5DEFE48C" w14:textId="77777777" w:rsidR="00444431" w:rsidRDefault="00444431" w:rsidP="00444431">
            <w:pPr>
              <w:numPr>
                <w:ilvl w:val="0"/>
                <w:numId w:val="27"/>
              </w:numPr>
              <w:overflowPunct/>
              <w:autoSpaceDE/>
              <w:autoSpaceDN/>
              <w:adjustRightInd/>
              <w:spacing w:after="120"/>
              <w:textAlignment w:val="auto"/>
              <w:rPr>
                <w:rFonts w:ascii="Arial" w:hAnsi="Arial" w:cs="Arial"/>
                <w:b/>
                <w:lang w:eastAsia="en-US"/>
              </w:rPr>
            </w:pPr>
            <w:r>
              <w:rPr>
                <w:rFonts w:ascii="Arial" w:hAnsi="Arial" w:cs="Arial"/>
                <w:b/>
              </w:rPr>
              <w:t>Overall Description:</w:t>
            </w:r>
          </w:p>
          <w:p w14:paraId="571FC399" w14:textId="77777777" w:rsidR="00444431" w:rsidRDefault="00444431" w:rsidP="00444431">
            <w:pPr>
              <w:pStyle w:val="Header"/>
              <w:rPr>
                <w:rFonts w:eastAsia="SimSun" w:cs="Arial"/>
                <w:b w:val="0"/>
                <w:sz w:val="20"/>
                <w:lang w:val="en-US" w:eastAsia="zh-CN"/>
              </w:rPr>
            </w:pPr>
            <w:r>
              <w:rPr>
                <w:rFonts w:eastAsia="SimSun" w:cs="Arial"/>
                <w:b w:val="0"/>
                <w:sz w:val="20"/>
                <w:lang w:val="en-US" w:eastAsia="zh-CN"/>
              </w:rPr>
              <w:t xml:space="preserve">In Rel-18, </w:t>
            </w:r>
            <w:r>
              <w:rPr>
                <w:rFonts w:cs="Arial"/>
                <w:b w:val="0"/>
                <w:sz w:val="20"/>
              </w:rPr>
              <w:t xml:space="preserve">RAN3 </w:t>
            </w:r>
            <w:r>
              <w:rPr>
                <w:rFonts w:eastAsia="SimSun" w:cs="Arial"/>
                <w:b w:val="0"/>
                <w:sz w:val="20"/>
                <w:lang w:val="en-US" w:eastAsia="zh-CN"/>
              </w:rPr>
              <w:t xml:space="preserve">agreed to work on MRO for SCG failure in EN-DC, NGEN-DC and NE-DC scenarios, while, RAN2 decided to deprioritize this issue. </w:t>
            </w:r>
          </w:p>
          <w:p w14:paraId="789F9E45" w14:textId="77777777" w:rsidR="00444431" w:rsidRDefault="00444431" w:rsidP="00444431">
            <w:pPr>
              <w:pStyle w:val="Header"/>
              <w:rPr>
                <w:rFonts w:eastAsia="SimSun" w:cs="Arial"/>
                <w:b w:val="0"/>
                <w:sz w:val="20"/>
                <w:lang w:val="en-US" w:eastAsia="zh-CN"/>
              </w:rPr>
            </w:pPr>
          </w:p>
          <w:p w14:paraId="1E87A72B" w14:textId="77777777" w:rsidR="00444431" w:rsidRDefault="00444431" w:rsidP="00444431">
            <w:pPr>
              <w:pStyle w:val="Header"/>
              <w:rPr>
                <w:rFonts w:eastAsia="SimSun" w:cs="Arial"/>
                <w:b w:val="0"/>
                <w:sz w:val="20"/>
                <w:lang w:val="en-US" w:eastAsia="zh-CN"/>
              </w:rPr>
            </w:pPr>
            <w:r>
              <w:rPr>
                <w:rFonts w:eastAsia="SimSun" w:cs="Arial"/>
                <w:b w:val="0"/>
                <w:sz w:val="20"/>
                <w:lang w:val="en-US" w:eastAsia="zh-CN"/>
              </w:rPr>
              <w:t xml:space="preserve">In Rel-19, this issue is captured in the WID again as one leftover issue. RAN3 would therefore like to ask whether RAN2 will support MRO for SCG failure in EN-DC, NGEN-DC and NE-DC scenarios in Rel-19. </w:t>
            </w:r>
          </w:p>
          <w:p w14:paraId="5524D7E3" w14:textId="77777777" w:rsidR="00444431" w:rsidRDefault="00444431" w:rsidP="00444431">
            <w:pPr>
              <w:pStyle w:val="Header"/>
              <w:rPr>
                <w:rFonts w:eastAsia="SimSun" w:cs="Arial"/>
                <w:b w:val="0"/>
                <w:sz w:val="20"/>
                <w:lang w:val="en-US" w:eastAsia="zh-CN"/>
              </w:rPr>
            </w:pPr>
          </w:p>
          <w:p w14:paraId="017B134F" w14:textId="77777777" w:rsidR="00444431" w:rsidRDefault="00444431" w:rsidP="00444431">
            <w:pPr>
              <w:pStyle w:val="Header"/>
              <w:rPr>
                <w:rFonts w:eastAsia="SimSun" w:cs="Arial"/>
                <w:b w:val="0"/>
                <w:sz w:val="20"/>
                <w:lang w:val="en-US" w:eastAsia="zh-CN"/>
              </w:rPr>
            </w:pPr>
            <w:r>
              <w:rPr>
                <w:rFonts w:eastAsia="SimSun" w:cs="Arial"/>
                <w:b w:val="0"/>
                <w:sz w:val="20"/>
                <w:lang w:val="en-US" w:eastAsia="zh-CN"/>
              </w:rPr>
              <w:t>RAN3 will work on this feature only after RAN2 decides to support it.</w:t>
            </w:r>
          </w:p>
          <w:p w14:paraId="69A06A21" w14:textId="77777777" w:rsidR="00444431" w:rsidRDefault="00444431" w:rsidP="00444431">
            <w:pPr>
              <w:spacing w:after="120"/>
              <w:rPr>
                <w:rFonts w:ascii="Arial" w:eastAsia="Times New Roman" w:hAnsi="Arial" w:cs="Arial"/>
                <w:b/>
                <w:sz w:val="20"/>
                <w:lang w:val="en-GB" w:eastAsia="en-US"/>
              </w:rPr>
            </w:pPr>
          </w:p>
          <w:p w14:paraId="4A14692D" w14:textId="77777777" w:rsidR="00444431" w:rsidRDefault="00444431" w:rsidP="00444431">
            <w:pPr>
              <w:spacing w:after="120"/>
              <w:rPr>
                <w:rFonts w:ascii="Arial" w:hAnsi="Arial" w:cs="Arial"/>
                <w:b/>
              </w:rPr>
            </w:pPr>
            <w:r>
              <w:rPr>
                <w:rFonts w:ascii="Arial" w:hAnsi="Arial" w:cs="Arial"/>
                <w:b/>
              </w:rPr>
              <w:t>2. Actions:</w:t>
            </w:r>
          </w:p>
          <w:p w14:paraId="0C13CBF3" w14:textId="77777777" w:rsidR="00444431" w:rsidRDefault="00444431" w:rsidP="00444431">
            <w:pPr>
              <w:spacing w:after="120"/>
              <w:ind w:left="1985" w:hanging="1985"/>
              <w:rPr>
                <w:rFonts w:ascii="Arial" w:hAnsi="Arial" w:cs="Arial"/>
                <w:b/>
              </w:rPr>
            </w:pPr>
            <w:r>
              <w:rPr>
                <w:rFonts w:ascii="Arial" w:hAnsi="Arial" w:cs="Arial"/>
                <w:b/>
              </w:rPr>
              <w:lastRenderedPageBreak/>
              <w:t xml:space="preserve">To </w:t>
            </w:r>
            <w:r>
              <w:rPr>
                <w:rFonts w:ascii="Arial" w:hAnsi="Arial" w:cs="Arial"/>
                <w:b/>
                <w:lang w:val="en-US" w:eastAsia="zh-CN"/>
              </w:rPr>
              <w:t>RAN2</w:t>
            </w:r>
            <w:r>
              <w:rPr>
                <w:rFonts w:ascii="Arial" w:hAnsi="Arial" w:cs="Arial"/>
                <w:b/>
              </w:rPr>
              <w:t xml:space="preserve"> group.</w:t>
            </w:r>
          </w:p>
          <w:p w14:paraId="6E83F2A1" w14:textId="77777777" w:rsidR="00444431" w:rsidRDefault="00444431" w:rsidP="0044443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eastAsia="SimSun" w:hAnsi="Arial" w:cs="Arial"/>
                <w:lang w:val="en-US" w:eastAsia="zh-CN"/>
              </w:rPr>
              <w:t>RAN3 kindly asks RAN2 to take the above into consideration and provide the feedback.</w:t>
            </w:r>
          </w:p>
          <w:p w14:paraId="1FDAE156" w14:textId="40F635FF" w:rsidR="007F6999" w:rsidRDefault="007F6999" w:rsidP="00B3151C">
            <w:pPr>
              <w:pStyle w:val="Header"/>
            </w:pPr>
          </w:p>
        </w:tc>
      </w:tr>
    </w:tbl>
    <w:p w14:paraId="16F21333" w14:textId="77777777" w:rsidR="00F00CA5" w:rsidRDefault="00F00CA5" w:rsidP="00B3151C"/>
    <w:p w14:paraId="65F65FD1" w14:textId="0B927EE0" w:rsidR="00734B82" w:rsidRPr="00D95F6C" w:rsidRDefault="0096642B" w:rsidP="00B3151C">
      <w:pPr>
        <w:rPr>
          <w:rFonts w:ascii="Arial" w:hAnsi="Arial" w:cs="Arial"/>
        </w:rPr>
      </w:pPr>
      <w:r>
        <w:rPr>
          <w:rFonts w:ascii="Arial" w:hAnsi="Arial" w:cs="Arial"/>
        </w:rPr>
        <w:t xml:space="preserve">The need to </w:t>
      </w:r>
      <w:r w:rsidR="00C34F59">
        <w:rPr>
          <w:rFonts w:ascii="Arial" w:hAnsi="Arial" w:cs="Arial"/>
        </w:rPr>
        <w:t xml:space="preserve">introduce enhancements for </w:t>
      </w:r>
      <w:r w:rsidR="00C34F59" w:rsidRPr="00D95F6C">
        <w:rPr>
          <w:rFonts w:ascii="Arial" w:hAnsi="Arial" w:cs="Arial"/>
        </w:rPr>
        <w:t>EN-DC, NGEN-DC and NE-DC was already discussed in Rel.18</w:t>
      </w:r>
      <w:r w:rsidR="00CA42DC">
        <w:rPr>
          <w:rFonts w:ascii="Arial" w:hAnsi="Arial" w:cs="Arial"/>
        </w:rPr>
        <w:t xml:space="preserve"> in RAN2</w:t>
      </w:r>
      <w:r w:rsidR="00C34F59" w:rsidRPr="00D95F6C">
        <w:rPr>
          <w:rFonts w:ascii="Arial" w:hAnsi="Arial" w:cs="Arial"/>
        </w:rPr>
        <w:t xml:space="preserve">, and </w:t>
      </w:r>
      <w:r w:rsidR="00CA42DC">
        <w:rPr>
          <w:rFonts w:ascii="Arial" w:hAnsi="Arial" w:cs="Arial"/>
        </w:rPr>
        <w:t xml:space="preserve">we </w:t>
      </w:r>
      <w:r w:rsidR="00C34F59" w:rsidRPr="00D95F6C">
        <w:rPr>
          <w:rFonts w:ascii="Arial" w:hAnsi="Arial" w:cs="Arial"/>
        </w:rPr>
        <w:t>agree</w:t>
      </w:r>
      <w:r w:rsidR="00CA42DC">
        <w:rPr>
          <w:rFonts w:ascii="Arial" w:hAnsi="Arial" w:cs="Arial"/>
        </w:rPr>
        <w:t xml:space="preserve"> to </w:t>
      </w:r>
      <w:r w:rsidR="008977B6">
        <w:rPr>
          <w:rFonts w:ascii="Arial" w:hAnsi="Arial" w:cs="Arial"/>
        </w:rPr>
        <w:t>de</w:t>
      </w:r>
      <w:r w:rsidR="00C34F59" w:rsidRPr="00D95F6C">
        <w:rPr>
          <w:rFonts w:ascii="Arial" w:hAnsi="Arial" w:cs="Arial"/>
        </w:rPr>
        <w:t>prioritize</w:t>
      </w:r>
      <w:r w:rsidR="008977B6">
        <w:rPr>
          <w:rFonts w:ascii="Arial" w:hAnsi="Arial" w:cs="Arial"/>
        </w:rPr>
        <w:t xml:space="preserve"> it</w:t>
      </w:r>
      <w:r w:rsidR="00C34F59" w:rsidRPr="00D95F6C">
        <w:rPr>
          <w:rFonts w:ascii="Arial" w:hAnsi="Arial" w:cs="Arial"/>
        </w:rPr>
        <w:t xml:space="preserve">. Given the limited time units available in </w:t>
      </w:r>
      <w:r w:rsidR="00B26E88" w:rsidRPr="00D95F6C">
        <w:rPr>
          <w:rFonts w:ascii="Arial" w:hAnsi="Arial" w:cs="Arial"/>
        </w:rPr>
        <w:t>RAN2</w:t>
      </w:r>
      <w:r w:rsidR="001363AE">
        <w:rPr>
          <w:rFonts w:ascii="Arial" w:hAnsi="Arial" w:cs="Arial"/>
        </w:rPr>
        <w:t xml:space="preserve"> in Rel.19</w:t>
      </w:r>
      <w:r w:rsidR="00B26E88" w:rsidRPr="00D95F6C">
        <w:rPr>
          <w:rFonts w:ascii="Arial" w:hAnsi="Arial" w:cs="Arial"/>
        </w:rPr>
        <w:t>, we prefer focusing only on NR-DC related enhancements in order to reduce the specification effor</w:t>
      </w:r>
      <w:r w:rsidR="00E32CE3" w:rsidRPr="00D95F6C">
        <w:rPr>
          <w:rFonts w:ascii="Arial" w:hAnsi="Arial" w:cs="Arial"/>
        </w:rPr>
        <w:t>ts in LTE, and the online discussion</w:t>
      </w:r>
      <w:r w:rsidR="006E0C47" w:rsidRPr="00D95F6C">
        <w:rPr>
          <w:rFonts w:ascii="Arial" w:hAnsi="Arial" w:cs="Arial"/>
        </w:rPr>
        <w:t>.</w:t>
      </w:r>
    </w:p>
    <w:p w14:paraId="5097E401" w14:textId="497A5822" w:rsidR="006E0C47" w:rsidRPr="00734B82" w:rsidRDefault="006E0C47" w:rsidP="006E0C47">
      <w:pPr>
        <w:pStyle w:val="Proposal"/>
      </w:pPr>
      <w:bookmarkStart w:id="27" w:name="_Toc165982622"/>
      <w:bookmarkStart w:id="28" w:name="_Toc166229577"/>
      <w:r>
        <w:t xml:space="preserve">Related to enhancements </w:t>
      </w:r>
      <w:r w:rsidR="00D100D2">
        <w:t xml:space="preserve">for </w:t>
      </w:r>
      <w:r>
        <w:rPr>
          <w:rFonts w:cs="Arial"/>
        </w:rPr>
        <w:t>MRO for SCG failure</w:t>
      </w:r>
      <w:r w:rsidR="00D100D2">
        <w:rPr>
          <w:rFonts w:cs="Arial"/>
        </w:rPr>
        <w:t>,</w:t>
      </w:r>
      <w:r>
        <w:rPr>
          <w:rFonts w:cs="Arial"/>
        </w:rPr>
        <w:t xml:space="preserve"> </w:t>
      </w:r>
      <w:r w:rsidR="00C525AD">
        <w:rPr>
          <w:rFonts w:cs="Arial"/>
        </w:rPr>
        <w:t xml:space="preserve">reply to RAN3 that </w:t>
      </w:r>
      <w:r>
        <w:t xml:space="preserve">RAN2 </w:t>
      </w:r>
      <w:r w:rsidR="00C525AD">
        <w:t xml:space="preserve">will only </w:t>
      </w:r>
      <w:r>
        <w:t>focus on NR-DC</w:t>
      </w:r>
      <w:r w:rsidR="00D100D2">
        <w:t xml:space="preserve"> related</w:t>
      </w:r>
      <w:r>
        <w:t xml:space="preserve"> enhancemen</w:t>
      </w:r>
      <w:r w:rsidR="00D100D2">
        <w:t>ts.</w:t>
      </w:r>
      <w:bookmarkEnd w:id="27"/>
      <w:bookmarkEnd w:id="28"/>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1C2C3EE" w14:textId="42398677" w:rsidR="00217639" w:rsidRDefault="006F65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29578" w:history="1">
        <w:r w:rsidR="00217639" w:rsidRPr="004B01AE">
          <w:rPr>
            <w:rStyle w:val="Hyperlink"/>
            <w:noProof/>
          </w:rPr>
          <w:t>Observation 1</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4B01AE">
          <w:rPr>
            <w:rStyle w:val="Hyperlink"/>
            <w:noProof/>
          </w:rPr>
          <w:t>SCG activation and deactivation was introduced in Rel-17.</w:t>
        </w:r>
      </w:hyperlink>
    </w:p>
    <w:p w14:paraId="77E32EDD" w14:textId="75136407"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79" w:history="1">
        <w:r w:rsidR="00217639" w:rsidRPr="004B01AE">
          <w:rPr>
            <w:rStyle w:val="Hyperlink"/>
            <w:noProof/>
          </w:rPr>
          <w:t>Observation 2</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4B01AE">
          <w:rPr>
            <w:rStyle w:val="Hyperlink"/>
            <w:noProof/>
          </w:rPr>
          <w:t>There is no possibility to see from the Mobility History Information whether the SCG state was set to activated or deactivated.</w:t>
        </w:r>
      </w:hyperlink>
    </w:p>
    <w:p w14:paraId="6189D755" w14:textId="5A6D5B59"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80" w:history="1">
        <w:r w:rsidR="00217639" w:rsidRPr="004B01AE">
          <w:rPr>
            <w:rStyle w:val="Hyperlink"/>
            <w:noProof/>
          </w:rPr>
          <w:t>Observation 3</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4B01AE">
          <w:rPr>
            <w:rStyle w:val="Hyperlink"/>
            <w:noProof/>
          </w:rPr>
          <w:t>Understanding the usage of secondary cells is of importance for understanding in which situations there will be a gain from setting up a secondary cell.</w:t>
        </w:r>
      </w:hyperlink>
    </w:p>
    <w:p w14:paraId="0016CC3F" w14:textId="786BE506"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81" w:history="1">
        <w:r w:rsidR="00217639" w:rsidRPr="004B01AE">
          <w:rPr>
            <w:rStyle w:val="Hyperlink"/>
            <w:noProof/>
          </w:rPr>
          <w:t>Observation 4</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4B01AE">
          <w:rPr>
            <w:rStyle w:val="Hyperlink"/>
            <w:noProof/>
          </w:rPr>
          <w:t xml:space="preserve">If MN is suspended at the time of SCG failure, UE would not be able to transmit </w:t>
        </w:r>
        <w:r w:rsidR="00217639" w:rsidRPr="004B01AE">
          <w:rPr>
            <w:rStyle w:val="Hyperlink"/>
            <w:i/>
            <w:iCs/>
            <w:noProof/>
          </w:rPr>
          <w:t>SCGFailureInformation</w:t>
        </w:r>
        <w:r w:rsidR="00217639" w:rsidRPr="004B01AE">
          <w:rPr>
            <w:rStyle w:val="Hyperlink"/>
            <w:noProof/>
          </w:rPr>
          <w:t xml:space="preserve"> to MN. The UE would instead generate the RLF report.</w:t>
        </w:r>
      </w:hyperlink>
    </w:p>
    <w:p w14:paraId="15F7A0A3" w14:textId="05A643BD" w:rsidR="005578B1" w:rsidRDefault="006F6582" w:rsidP="006E1C82">
      <w:pPr>
        <w:pStyle w:val="BodyText"/>
        <w:rPr>
          <w:b/>
          <w:bCs/>
        </w:rPr>
      </w:pPr>
      <w:r>
        <w:rPr>
          <w:b/>
          <w:bCs/>
        </w:rPr>
        <w:fldChar w:fldCharType="end"/>
      </w:r>
    </w:p>
    <w:p w14:paraId="7B9E4794" w14:textId="75D56103" w:rsidR="006E1C82" w:rsidRDefault="008E065E" w:rsidP="006E1C82">
      <w:pPr>
        <w:pStyle w:val="BodyText"/>
      </w:pPr>
      <w:r w:rsidRPr="00CE0424">
        <w:t xml:space="preserve">Based on the discussion in </w:t>
      </w:r>
      <w:r w:rsidR="007729A2">
        <w:t xml:space="preserve">the previous </w:t>
      </w:r>
      <w:r w:rsidRPr="00CE0424">
        <w:t>section we propose the following:</w:t>
      </w:r>
    </w:p>
    <w:p w14:paraId="6D711871" w14:textId="55DECDDF" w:rsidR="00217639"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229570" w:history="1">
        <w:r w:rsidR="00217639" w:rsidRPr="00B15D38">
          <w:rPr>
            <w:rStyle w:val="Hyperlink"/>
            <w:noProof/>
          </w:rPr>
          <w:t>Proposal 1</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B15D38">
          <w:rPr>
            <w:rStyle w:val="Hyperlink"/>
            <w:noProof/>
          </w:rPr>
          <w:t>For each PSCell entry of the MHI, log the accumulated time with SCG state set to deactivated during the stay in the PSCell.</w:t>
        </w:r>
      </w:hyperlink>
    </w:p>
    <w:p w14:paraId="26C38889" w14:textId="341A345A"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71" w:history="1">
        <w:r w:rsidR="00217639" w:rsidRPr="00B15D38">
          <w:rPr>
            <w:rStyle w:val="Hyperlink"/>
            <w:noProof/>
          </w:rPr>
          <w:t>Proposal 2</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B15D38">
          <w:rPr>
            <w:rStyle w:val="Hyperlink"/>
            <w:noProof/>
          </w:rPr>
          <w:t>For each PSCell entry of the MHI, log the number of times the SCG state has switched between activated and deactivated during the stay in the PSCell.</w:t>
        </w:r>
      </w:hyperlink>
    </w:p>
    <w:p w14:paraId="3659AF62" w14:textId="698A2A25"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72" w:history="1">
        <w:r w:rsidR="00217639" w:rsidRPr="00B15D38">
          <w:rPr>
            <w:rStyle w:val="Hyperlink"/>
            <w:rFonts w:cs="Arial"/>
            <w:noProof/>
          </w:rPr>
          <w:t>Proposal 3</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B15D38">
          <w:rPr>
            <w:rStyle w:val="Hyperlink"/>
            <w:rFonts w:cs="Arial"/>
            <w:noProof/>
            <w:lang w:val="en-US"/>
          </w:rPr>
          <w:t>UE includes in the RA-Report an indication that the UE was configured with SDT, and that an SDT procedure was initiated by upper layers, but RA-SDT preambles or CG-SDT resources could not be used.</w:t>
        </w:r>
      </w:hyperlink>
    </w:p>
    <w:p w14:paraId="29AA249C" w14:textId="65828A4D"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73" w:history="1">
        <w:r w:rsidR="00217639" w:rsidRPr="00B15D38">
          <w:rPr>
            <w:rStyle w:val="Hyperlink"/>
            <w:rFonts w:cs="Arial"/>
            <w:noProof/>
          </w:rPr>
          <w:t>Proposal 4</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B15D38">
          <w:rPr>
            <w:rStyle w:val="Hyperlink"/>
            <w:rFonts w:cs="Arial"/>
            <w:noProof/>
            <w:lang w:val="en-US"/>
          </w:rPr>
          <w:t>UE includes in the RA-Report indications regarding the reason why it could not perform SDT, e.g., indications on whether the data volume threshold or the RSRP threshold was not met, CG-SDT conditions not fulfilled.</w:t>
        </w:r>
      </w:hyperlink>
    </w:p>
    <w:p w14:paraId="7F4B3E9F" w14:textId="1F3C1EA5"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74" w:history="1">
        <w:r w:rsidR="00217639" w:rsidRPr="00B15D38">
          <w:rPr>
            <w:rStyle w:val="Hyperlink"/>
            <w:noProof/>
          </w:rPr>
          <w:t>Proposal 5</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B15D38">
          <w:rPr>
            <w:rStyle w:val="Hyperlink"/>
            <w:noProof/>
            <w:lang w:val="en-US"/>
          </w:rPr>
          <w:t xml:space="preserve">UE reports in the RA-Report the amount of data above the </w:t>
        </w:r>
        <w:r w:rsidR="00217639" w:rsidRPr="00B15D38">
          <w:rPr>
            <w:rStyle w:val="Hyperlink"/>
            <w:i/>
            <w:noProof/>
            <w:spacing w:val="2"/>
            <w:lang w:val="en-US" w:eastAsia="en-US"/>
          </w:rPr>
          <w:t>sdt-DataVolumeThreshold</w:t>
        </w:r>
        <w:r w:rsidR="00217639" w:rsidRPr="00B15D38">
          <w:rPr>
            <w:rStyle w:val="Hyperlink"/>
            <w:noProof/>
            <w:lang w:val="en-US"/>
          </w:rPr>
          <w:t>.</w:t>
        </w:r>
      </w:hyperlink>
    </w:p>
    <w:p w14:paraId="04AE64AF" w14:textId="52DDA348"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75" w:history="1">
        <w:r w:rsidR="00217639" w:rsidRPr="00B15D38">
          <w:rPr>
            <w:rStyle w:val="Hyperlink"/>
            <w:noProof/>
          </w:rPr>
          <w:t>Proposal 6</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B15D38">
          <w:rPr>
            <w:rStyle w:val="Hyperlink"/>
            <w:noProof/>
            <w:lang w:val="en-US"/>
          </w:rPr>
          <w:t>UE reports in the RA-Report the measured RSRP level if SDT procedure was not initiated at MAC entity due to the measured RSRP being smaller than the corresponding configured threshold.</w:t>
        </w:r>
      </w:hyperlink>
    </w:p>
    <w:p w14:paraId="3159380F" w14:textId="427CC423"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76" w:history="1">
        <w:r w:rsidR="00217639" w:rsidRPr="00B15D38">
          <w:rPr>
            <w:rStyle w:val="Hyperlink"/>
            <w:noProof/>
          </w:rPr>
          <w:t>Proposal 7</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B15D38">
          <w:rPr>
            <w:rStyle w:val="Hyperlink"/>
            <w:noProof/>
          </w:rPr>
          <w:t>UE includes the CPC/CPA configuration execution information and any measurement result collected due to SCG configuration in the RLF report.</w:t>
        </w:r>
      </w:hyperlink>
    </w:p>
    <w:p w14:paraId="46C870EA" w14:textId="2DCEEB2C" w:rsidR="00217639" w:rsidRDefault="002F79F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577" w:history="1">
        <w:r w:rsidR="00217639" w:rsidRPr="00B15D38">
          <w:rPr>
            <w:rStyle w:val="Hyperlink"/>
            <w:noProof/>
          </w:rPr>
          <w:t>Proposal 8</w:t>
        </w:r>
        <w:r w:rsidR="00217639">
          <w:rPr>
            <w:rFonts w:asciiTheme="minorHAnsi" w:eastAsiaTheme="minorEastAsia" w:hAnsiTheme="minorHAnsi" w:cstheme="minorBidi"/>
            <w:b w:val="0"/>
            <w:noProof/>
            <w:kern w:val="2"/>
            <w:sz w:val="22"/>
            <w:szCs w:val="22"/>
            <w:lang w:val="en-SE" w:eastAsia="en-SE"/>
            <w14:ligatures w14:val="standardContextual"/>
          </w:rPr>
          <w:tab/>
        </w:r>
        <w:r w:rsidR="00217639" w:rsidRPr="00B15D38">
          <w:rPr>
            <w:rStyle w:val="Hyperlink"/>
            <w:noProof/>
          </w:rPr>
          <w:t xml:space="preserve">Related to enhancements for </w:t>
        </w:r>
        <w:r w:rsidR="00217639" w:rsidRPr="00B15D38">
          <w:rPr>
            <w:rStyle w:val="Hyperlink"/>
            <w:rFonts w:cs="Arial"/>
            <w:noProof/>
          </w:rPr>
          <w:t xml:space="preserve">MRO for SCG failure, reply to RAN3 that </w:t>
        </w:r>
        <w:r w:rsidR="00217639" w:rsidRPr="00B15D38">
          <w:rPr>
            <w:rStyle w:val="Hyperlink"/>
            <w:noProof/>
          </w:rPr>
          <w:t>RAN2 will only focus on NR-DC related enhancements.</w:t>
        </w:r>
      </w:hyperlink>
    </w:p>
    <w:p w14:paraId="128611C6" w14:textId="12A09634" w:rsidR="006E1C82" w:rsidRPr="00CE0424" w:rsidRDefault="006E1C82" w:rsidP="006E1C82">
      <w:pPr>
        <w:pStyle w:val="BodyText"/>
        <w:rPr>
          <w:b/>
          <w:bCs/>
        </w:rPr>
      </w:pPr>
      <w:r>
        <w:rPr>
          <w:b/>
          <w:bCs/>
          <w:lang w:val="en-US"/>
        </w:rPr>
        <w:fldChar w:fldCharType="end"/>
      </w:r>
      <w:r w:rsidRPr="00CE0424">
        <w:rPr>
          <w:b/>
          <w:bCs/>
        </w:rPr>
        <w:t xml:space="preserve"> </w:t>
      </w:r>
    </w:p>
    <w:p w14:paraId="29AD60D9" w14:textId="77777777" w:rsidR="00F507D1" w:rsidRPr="00CE0424" w:rsidRDefault="00F507D1" w:rsidP="00CE0424">
      <w:pPr>
        <w:pStyle w:val="Heading1"/>
      </w:pPr>
      <w:bookmarkStart w:id="29" w:name="_In-sequence_SDU_delivery"/>
      <w:bookmarkEnd w:id="29"/>
      <w:r w:rsidRPr="00CE0424">
        <w:lastRenderedPageBreak/>
        <w:t>References</w:t>
      </w:r>
    </w:p>
    <w:p w14:paraId="7B692E8F" w14:textId="0A2E257F" w:rsidR="005F3025" w:rsidRPr="00FE0226" w:rsidRDefault="00E83E6A" w:rsidP="00311702">
      <w:pPr>
        <w:pStyle w:val="Reference"/>
      </w:pPr>
      <w:bookmarkStart w:id="30" w:name="_Ref162164789"/>
      <w:bookmarkStart w:id="31" w:name="_Ref174151459"/>
      <w:bookmarkStart w:id="32" w:name="_Ref189809556"/>
      <w:r w:rsidRPr="00FE0226">
        <w:t>R2-2312678</w:t>
      </w:r>
      <w:r w:rsidR="005F3025" w:rsidRPr="00FE0226">
        <w:t xml:space="preserve">, </w:t>
      </w:r>
      <w:r w:rsidRPr="00FE0226">
        <w:t>MHI Enhancement for SCG Activation/Deactivation</w:t>
      </w:r>
      <w:r w:rsidR="005F3025" w:rsidRPr="00FE0226">
        <w:t xml:space="preserve">, </w:t>
      </w:r>
      <w:r w:rsidRPr="00FE0226">
        <w:t>CMCC, Ericsson, CATT</w:t>
      </w:r>
      <w:r w:rsidR="005F3025" w:rsidRPr="00FE0226">
        <w:t xml:space="preserve">, </w:t>
      </w:r>
      <w:r w:rsidRPr="00FE0226">
        <w:t>RAN2 #124</w:t>
      </w:r>
      <w:r w:rsidR="005F3025" w:rsidRPr="00FE0226">
        <w:t xml:space="preserve">, </w:t>
      </w:r>
      <w:r w:rsidRPr="00FE0226">
        <w:t>Nov. 13</w:t>
      </w:r>
      <w:r w:rsidRPr="00FE0226">
        <w:rPr>
          <w:vertAlign w:val="superscript"/>
        </w:rPr>
        <w:t>th</w:t>
      </w:r>
      <w:r w:rsidR="00FE0226">
        <w:t xml:space="preserve"> </w:t>
      </w:r>
      <w:r w:rsidRPr="00FE0226">
        <w:t>- 17</w:t>
      </w:r>
      <w:r w:rsidRPr="00FE0226">
        <w:rPr>
          <w:vertAlign w:val="superscript"/>
        </w:rPr>
        <w:t>th</w:t>
      </w:r>
      <w:r w:rsidRPr="00FE0226">
        <w:t>, 2023.</w:t>
      </w:r>
      <w:bookmarkEnd w:id="30"/>
    </w:p>
    <w:p w14:paraId="590A6C22" w14:textId="6012191D" w:rsidR="00E83E6A" w:rsidRPr="00FE0226" w:rsidRDefault="00E83E6A" w:rsidP="00E83E6A">
      <w:pPr>
        <w:pStyle w:val="Reference"/>
      </w:pPr>
      <w:bookmarkStart w:id="33" w:name="_Ref162164796"/>
      <w:r w:rsidRPr="00FE0226">
        <w:t xml:space="preserve">R2-2312746, </w:t>
      </w:r>
      <w:r w:rsidRPr="00FE0226">
        <w:rPr>
          <w:rFonts w:eastAsiaTheme="minorEastAsia" w:cs="Arial"/>
        </w:rPr>
        <w:t xml:space="preserve">Discussion on MHI Enhancement for SCG Deactivation/Activation, CATT, RAN2 #124, </w:t>
      </w:r>
      <w:r w:rsidRPr="00FE0226">
        <w:t>Nov. 13</w:t>
      </w:r>
      <w:r w:rsidRPr="00FE0226">
        <w:rPr>
          <w:vertAlign w:val="superscript"/>
        </w:rPr>
        <w:t>th</w:t>
      </w:r>
      <w:r w:rsidR="00FE0226">
        <w:t xml:space="preserve"> </w:t>
      </w:r>
      <w:r w:rsidRPr="00FE0226">
        <w:t>- 17</w:t>
      </w:r>
      <w:r w:rsidRPr="00FE0226">
        <w:rPr>
          <w:vertAlign w:val="superscript"/>
        </w:rPr>
        <w:t>th</w:t>
      </w:r>
      <w:r w:rsidRPr="00FE0226">
        <w:t>, 2023.</w:t>
      </w:r>
      <w:bookmarkEnd w:id="33"/>
    </w:p>
    <w:p w14:paraId="00C4EA59" w14:textId="20A6AD63" w:rsidR="00FE0226" w:rsidRPr="00FE0226" w:rsidRDefault="00FE0226" w:rsidP="00E83E6A">
      <w:pPr>
        <w:pStyle w:val="Reference"/>
      </w:pPr>
      <w:bookmarkStart w:id="34" w:name="_Ref162165250"/>
      <w:r w:rsidRPr="00FE0226">
        <w:t xml:space="preserve">RP-234038, New WID: Data collection for SON (Self-Organising Networks)/MDT (Minimization of Drive Tests) in NR standalone and MR-DC (Multi-Radio Dual Connectivity) Phase 4, </w:t>
      </w:r>
      <w:r>
        <w:t xml:space="preserve">CMCC, RAN #102, </w:t>
      </w:r>
      <w:r w:rsidRPr="00FE0226">
        <w:t>Dec</w:t>
      </w:r>
      <w:r>
        <w:t>.</w:t>
      </w:r>
      <w:r w:rsidRPr="00FE0226">
        <w:t xml:space="preserve"> 11</w:t>
      </w:r>
      <w:r w:rsidRPr="00FE0226">
        <w:rPr>
          <w:vertAlign w:val="superscript"/>
        </w:rPr>
        <w:t>th</w:t>
      </w:r>
      <w:r>
        <w:t xml:space="preserve"> – </w:t>
      </w:r>
      <w:r w:rsidRPr="00FE0226">
        <w:t>15</w:t>
      </w:r>
      <w:r w:rsidRPr="00FE0226">
        <w:rPr>
          <w:vertAlign w:val="superscript"/>
        </w:rPr>
        <w:t>th</w:t>
      </w:r>
      <w:r w:rsidRPr="00FE0226">
        <w:t>, 2023</w:t>
      </w:r>
      <w:r>
        <w:t>.</w:t>
      </w:r>
      <w:bookmarkEnd w:id="34"/>
    </w:p>
    <w:bookmarkEnd w:id="31"/>
    <w:bookmarkEnd w:id="32"/>
    <w:p w14:paraId="6FECCF80" w14:textId="77777777" w:rsidR="003A7EF3" w:rsidRPr="00CE0424" w:rsidRDefault="003A7EF3" w:rsidP="00CE0424">
      <w:pPr>
        <w:pStyle w:val="BodyText"/>
      </w:pPr>
    </w:p>
    <w:sectPr w:rsidR="003A7EF3" w:rsidRPr="00CE0424" w:rsidSect="00E2408C">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BF85" w14:textId="77777777" w:rsidR="00800F3C" w:rsidRDefault="00800F3C">
      <w:r>
        <w:separator/>
      </w:r>
    </w:p>
  </w:endnote>
  <w:endnote w:type="continuationSeparator" w:id="0">
    <w:p w14:paraId="0010906E" w14:textId="77777777" w:rsidR="00800F3C" w:rsidRDefault="00800F3C">
      <w:r>
        <w:continuationSeparator/>
      </w:r>
    </w:p>
  </w:endnote>
  <w:endnote w:type="continuationNotice" w:id="1">
    <w:p w14:paraId="7DAFE3A3" w14:textId="77777777" w:rsidR="00800F3C" w:rsidRDefault="00800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D0CC" w14:textId="77777777" w:rsidR="00800F3C" w:rsidRDefault="00800F3C">
      <w:r>
        <w:separator/>
      </w:r>
    </w:p>
  </w:footnote>
  <w:footnote w:type="continuationSeparator" w:id="0">
    <w:p w14:paraId="24A047C6" w14:textId="77777777" w:rsidR="00800F3C" w:rsidRDefault="00800F3C">
      <w:r>
        <w:continuationSeparator/>
      </w:r>
    </w:p>
  </w:footnote>
  <w:footnote w:type="continuationNotice" w:id="1">
    <w:p w14:paraId="574A367F" w14:textId="77777777" w:rsidR="00800F3C" w:rsidRDefault="00800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5828F7"/>
    <w:multiLevelType w:val="multilevel"/>
    <w:tmpl w:val="1BD2BFF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337A54DE"/>
    <w:lvl w:ilvl="0" w:tplc="57F0FEC2">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8D0959"/>
    <w:multiLevelType w:val="hybridMultilevel"/>
    <w:tmpl w:val="4DC85A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A5426"/>
    <w:multiLevelType w:val="multilevel"/>
    <w:tmpl w:val="43DA5426"/>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103E48"/>
    <w:multiLevelType w:val="multilevel"/>
    <w:tmpl w:val="1BD2BF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253582480">
    <w:abstractNumId w:val="3"/>
  </w:num>
  <w:num w:numId="2" w16cid:durableId="1639341018">
    <w:abstractNumId w:val="18"/>
  </w:num>
  <w:num w:numId="3" w16cid:durableId="149030463">
    <w:abstractNumId w:val="12"/>
  </w:num>
  <w:num w:numId="4" w16cid:durableId="1793861358">
    <w:abstractNumId w:val="13"/>
  </w:num>
  <w:num w:numId="5" w16cid:durableId="1243223580">
    <w:abstractNumId w:val="9"/>
  </w:num>
  <w:num w:numId="6" w16cid:durableId="228659845">
    <w:abstractNumId w:val="16"/>
  </w:num>
  <w:num w:numId="7" w16cid:durableId="758915933">
    <w:abstractNumId w:val="21"/>
  </w:num>
  <w:num w:numId="8" w16cid:durableId="779645832">
    <w:abstractNumId w:val="10"/>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9"/>
  </w:num>
  <w:num w:numId="14" w16cid:durableId="1237780611">
    <w:abstractNumId w:val="20"/>
  </w:num>
  <w:num w:numId="15" w16cid:durableId="1303653466">
    <w:abstractNumId w:val="14"/>
  </w:num>
  <w:num w:numId="16" w16cid:durableId="1461000268">
    <w:abstractNumId w:val="22"/>
  </w:num>
  <w:num w:numId="17" w16cid:durableId="2068138227">
    <w:abstractNumId w:val="5"/>
  </w:num>
  <w:num w:numId="18" w16cid:durableId="458114767">
    <w:abstractNumId w:val="6"/>
  </w:num>
  <w:num w:numId="19" w16cid:durableId="995108944">
    <w:abstractNumId w:val="4"/>
  </w:num>
  <w:num w:numId="20" w16cid:durableId="822239829">
    <w:abstractNumId w:val="25"/>
  </w:num>
  <w:num w:numId="21" w16cid:durableId="976183084">
    <w:abstractNumId w:val="11"/>
  </w:num>
  <w:num w:numId="22" w16cid:durableId="1374117700">
    <w:abstractNumId w:val="23"/>
  </w:num>
  <w:num w:numId="23" w16cid:durableId="1961035549">
    <w:abstractNumId w:val="26"/>
  </w:num>
  <w:num w:numId="24" w16cid:durableId="862982575">
    <w:abstractNumId w:val="8"/>
  </w:num>
  <w:num w:numId="25" w16cid:durableId="1522162184">
    <w:abstractNumId w:val="15"/>
  </w:num>
  <w:num w:numId="26" w16cid:durableId="1644575169">
    <w:abstractNumId w:val="24"/>
  </w:num>
  <w:num w:numId="27" w16cid:durableId="9432229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3114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52113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E24"/>
    <w:rsid w:val="00002A37"/>
    <w:rsid w:val="0000564C"/>
    <w:rsid w:val="00006446"/>
    <w:rsid w:val="00006896"/>
    <w:rsid w:val="00007CDC"/>
    <w:rsid w:val="0001103C"/>
    <w:rsid w:val="00011B28"/>
    <w:rsid w:val="0001305F"/>
    <w:rsid w:val="000146CF"/>
    <w:rsid w:val="00015D15"/>
    <w:rsid w:val="00022A4B"/>
    <w:rsid w:val="00025529"/>
    <w:rsid w:val="0002564D"/>
    <w:rsid w:val="00025ECA"/>
    <w:rsid w:val="000325B8"/>
    <w:rsid w:val="00032624"/>
    <w:rsid w:val="00034C15"/>
    <w:rsid w:val="00036BA1"/>
    <w:rsid w:val="000422E2"/>
    <w:rsid w:val="00042F22"/>
    <w:rsid w:val="000444EF"/>
    <w:rsid w:val="00044923"/>
    <w:rsid w:val="000463F1"/>
    <w:rsid w:val="00052A07"/>
    <w:rsid w:val="000534E3"/>
    <w:rsid w:val="0005606A"/>
    <w:rsid w:val="00057117"/>
    <w:rsid w:val="000616E7"/>
    <w:rsid w:val="0006487E"/>
    <w:rsid w:val="00065E1A"/>
    <w:rsid w:val="000663E9"/>
    <w:rsid w:val="000675A5"/>
    <w:rsid w:val="00070E67"/>
    <w:rsid w:val="00072830"/>
    <w:rsid w:val="0007342C"/>
    <w:rsid w:val="00077E5F"/>
    <w:rsid w:val="0008036A"/>
    <w:rsid w:val="00081A17"/>
    <w:rsid w:val="00081AE6"/>
    <w:rsid w:val="00084CB8"/>
    <w:rsid w:val="000855EB"/>
    <w:rsid w:val="00085B52"/>
    <w:rsid w:val="000866F2"/>
    <w:rsid w:val="0009009F"/>
    <w:rsid w:val="00090A97"/>
    <w:rsid w:val="00091557"/>
    <w:rsid w:val="000924C1"/>
    <w:rsid w:val="000924F0"/>
    <w:rsid w:val="00093474"/>
    <w:rsid w:val="0009510F"/>
    <w:rsid w:val="000A0078"/>
    <w:rsid w:val="000A1254"/>
    <w:rsid w:val="000A152E"/>
    <w:rsid w:val="000A17DE"/>
    <w:rsid w:val="000A1B7B"/>
    <w:rsid w:val="000A56F2"/>
    <w:rsid w:val="000A5D2B"/>
    <w:rsid w:val="000B2719"/>
    <w:rsid w:val="000B3A8F"/>
    <w:rsid w:val="000B4AB9"/>
    <w:rsid w:val="000B4E56"/>
    <w:rsid w:val="000B58C3"/>
    <w:rsid w:val="000B61E9"/>
    <w:rsid w:val="000B7F8C"/>
    <w:rsid w:val="000C03A0"/>
    <w:rsid w:val="000C165A"/>
    <w:rsid w:val="000C2E19"/>
    <w:rsid w:val="000D0D07"/>
    <w:rsid w:val="000D1439"/>
    <w:rsid w:val="000D4797"/>
    <w:rsid w:val="000D4880"/>
    <w:rsid w:val="000E0527"/>
    <w:rsid w:val="000E1E92"/>
    <w:rsid w:val="000F06D6"/>
    <w:rsid w:val="000F0EB1"/>
    <w:rsid w:val="000F1106"/>
    <w:rsid w:val="000F269A"/>
    <w:rsid w:val="000F3BE9"/>
    <w:rsid w:val="000F3F6C"/>
    <w:rsid w:val="000F6DF3"/>
    <w:rsid w:val="001005FF"/>
    <w:rsid w:val="001062FB"/>
    <w:rsid w:val="001063E6"/>
    <w:rsid w:val="00113CF4"/>
    <w:rsid w:val="001153EA"/>
    <w:rsid w:val="00115643"/>
    <w:rsid w:val="00116765"/>
    <w:rsid w:val="00120269"/>
    <w:rsid w:val="00120B7F"/>
    <w:rsid w:val="001219F5"/>
    <w:rsid w:val="00121A20"/>
    <w:rsid w:val="0012377F"/>
    <w:rsid w:val="00124314"/>
    <w:rsid w:val="00126B4A"/>
    <w:rsid w:val="00132FD0"/>
    <w:rsid w:val="001344C0"/>
    <w:rsid w:val="001346FA"/>
    <w:rsid w:val="00135252"/>
    <w:rsid w:val="001363AE"/>
    <w:rsid w:val="00137AB5"/>
    <w:rsid w:val="00137F0B"/>
    <w:rsid w:val="00145F74"/>
    <w:rsid w:val="0014674C"/>
    <w:rsid w:val="00151559"/>
    <w:rsid w:val="00151E23"/>
    <w:rsid w:val="001526E0"/>
    <w:rsid w:val="001551B5"/>
    <w:rsid w:val="001659C1"/>
    <w:rsid w:val="00173A8E"/>
    <w:rsid w:val="0017502C"/>
    <w:rsid w:val="0018143F"/>
    <w:rsid w:val="00181FF8"/>
    <w:rsid w:val="001826C3"/>
    <w:rsid w:val="001840A1"/>
    <w:rsid w:val="001847FE"/>
    <w:rsid w:val="00190AC1"/>
    <w:rsid w:val="00190E78"/>
    <w:rsid w:val="0019341A"/>
    <w:rsid w:val="00196AE9"/>
    <w:rsid w:val="00197DF9"/>
    <w:rsid w:val="001A1987"/>
    <w:rsid w:val="001A2564"/>
    <w:rsid w:val="001A5FD6"/>
    <w:rsid w:val="001A6173"/>
    <w:rsid w:val="001A6CBA"/>
    <w:rsid w:val="001B0D97"/>
    <w:rsid w:val="001B5A5D"/>
    <w:rsid w:val="001C1CE5"/>
    <w:rsid w:val="001C3D2A"/>
    <w:rsid w:val="001C4221"/>
    <w:rsid w:val="001D2B0C"/>
    <w:rsid w:val="001D3D3A"/>
    <w:rsid w:val="001D51BA"/>
    <w:rsid w:val="001D53E7"/>
    <w:rsid w:val="001D6342"/>
    <w:rsid w:val="001D6D53"/>
    <w:rsid w:val="001E26A1"/>
    <w:rsid w:val="001E58E2"/>
    <w:rsid w:val="001E7AED"/>
    <w:rsid w:val="001F3916"/>
    <w:rsid w:val="001F54C5"/>
    <w:rsid w:val="001F662C"/>
    <w:rsid w:val="001F7074"/>
    <w:rsid w:val="0020012E"/>
    <w:rsid w:val="00200490"/>
    <w:rsid w:val="00201F3A"/>
    <w:rsid w:val="00203F96"/>
    <w:rsid w:val="002069B2"/>
    <w:rsid w:val="00207F25"/>
    <w:rsid w:val="00207FA3"/>
    <w:rsid w:val="00212354"/>
    <w:rsid w:val="00213356"/>
    <w:rsid w:val="00214DA8"/>
    <w:rsid w:val="00215423"/>
    <w:rsid w:val="002158FA"/>
    <w:rsid w:val="00217246"/>
    <w:rsid w:val="00217639"/>
    <w:rsid w:val="00220600"/>
    <w:rsid w:val="00220C00"/>
    <w:rsid w:val="00221F66"/>
    <w:rsid w:val="002224DB"/>
    <w:rsid w:val="00223FCB"/>
    <w:rsid w:val="002252C3"/>
    <w:rsid w:val="00225C54"/>
    <w:rsid w:val="00230765"/>
    <w:rsid w:val="00230D18"/>
    <w:rsid w:val="002319E4"/>
    <w:rsid w:val="00235632"/>
    <w:rsid w:val="00235872"/>
    <w:rsid w:val="00241559"/>
    <w:rsid w:val="002435B3"/>
    <w:rsid w:val="002458EB"/>
    <w:rsid w:val="002500C8"/>
    <w:rsid w:val="00256D5F"/>
    <w:rsid w:val="00257543"/>
    <w:rsid w:val="002617E7"/>
    <w:rsid w:val="002620DB"/>
    <w:rsid w:val="00264228"/>
    <w:rsid w:val="00264334"/>
    <w:rsid w:val="0026473E"/>
    <w:rsid w:val="00266214"/>
    <w:rsid w:val="00267C83"/>
    <w:rsid w:val="00270DDC"/>
    <w:rsid w:val="0027144F"/>
    <w:rsid w:val="00271813"/>
    <w:rsid w:val="00271F3A"/>
    <w:rsid w:val="00273278"/>
    <w:rsid w:val="002737F4"/>
    <w:rsid w:val="00276052"/>
    <w:rsid w:val="002805F5"/>
    <w:rsid w:val="00280751"/>
    <w:rsid w:val="0028280A"/>
    <w:rsid w:val="00286ACD"/>
    <w:rsid w:val="00287838"/>
    <w:rsid w:val="002907B5"/>
    <w:rsid w:val="00291016"/>
    <w:rsid w:val="00292EB7"/>
    <w:rsid w:val="00295364"/>
    <w:rsid w:val="00296227"/>
    <w:rsid w:val="00296F44"/>
    <w:rsid w:val="0029777D"/>
    <w:rsid w:val="002A055E"/>
    <w:rsid w:val="002A1D4E"/>
    <w:rsid w:val="002A2869"/>
    <w:rsid w:val="002A7EBA"/>
    <w:rsid w:val="002B24D6"/>
    <w:rsid w:val="002B329B"/>
    <w:rsid w:val="002B4F9F"/>
    <w:rsid w:val="002B50ED"/>
    <w:rsid w:val="002C2253"/>
    <w:rsid w:val="002C41E6"/>
    <w:rsid w:val="002C4628"/>
    <w:rsid w:val="002D071A"/>
    <w:rsid w:val="002D0BA3"/>
    <w:rsid w:val="002D0D3A"/>
    <w:rsid w:val="002D34B2"/>
    <w:rsid w:val="002D48B0"/>
    <w:rsid w:val="002D5B37"/>
    <w:rsid w:val="002D7637"/>
    <w:rsid w:val="002E16CD"/>
    <w:rsid w:val="002E17F2"/>
    <w:rsid w:val="002E2EF5"/>
    <w:rsid w:val="002E6D73"/>
    <w:rsid w:val="002E7CAE"/>
    <w:rsid w:val="002F2771"/>
    <w:rsid w:val="002F37A9"/>
    <w:rsid w:val="002F79FB"/>
    <w:rsid w:val="00301CE6"/>
    <w:rsid w:val="0030256B"/>
    <w:rsid w:val="00303193"/>
    <w:rsid w:val="0030501F"/>
    <w:rsid w:val="00307BA1"/>
    <w:rsid w:val="00311702"/>
    <w:rsid w:val="00311E82"/>
    <w:rsid w:val="00313FD6"/>
    <w:rsid w:val="003143BD"/>
    <w:rsid w:val="00315363"/>
    <w:rsid w:val="003203ED"/>
    <w:rsid w:val="00322C9F"/>
    <w:rsid w:val="00324D23"/>
    <w:rsid w:val="00331751"/>
    <w:rsid w:val="00334579"/>
    <w:rsid w:val="00334C76"/>
    <w:rsid w:val="00335616"/>
    <w:rsid w:val="00335858"/>
    <w:rsid w:val="00335941"/>
    <w:rsid w:val="00336BDA"/>
    <w:rsid w:val="00342BD7"/>
    <w:rsid w:val="00343DBA"/>
    <w:rsid w:val="00346DB5"/>
    <w:rsid w:val="00346E98"/>
    <w:rsid w:val="003477B1"/>
    <w:rsid w:val="00352D28"/>
    <w:rsid w:val="00357380"/>
    <w:rsid w:val="003602D9"/>
    <w:rsid w:val="003604CE"/>
    <w:rsid w:val="00362E33"/>
    <w:rsid w:val="00365EEB"/>
    <w:rsid w:val="00365FB1"/>
    <w:rsid w:val="00365FE3"/>
    <w:rsid w:val="00370E47"/>
    <w:rsid w:val="003742AC"/>
    <w:rsid w:val="00377CE1"/>
    <w:rsid w:val="00380CD3"/>
    <w:rsid w:val="00382124"/>
    <w:rsid w:val="00383FFB"/>
    <w:rsid w:val="00385BF0"/>
    <w:rsid w:val="003865EC"/>
    <w:rsid w:val="00390EE4"/>
    <w:rsid w:val="003939FF"/>
    <w:rsid w:val="003961C6"/>
    <w:rsid w:val="003A2223"/>
    <w:rsid w:val="003A2A0F"/>
    <w:rsid w:val="003A45A1"/>
    <w:rsid w:val="003A5B0A"/>
    <w:rsid w:val="003A6BAC"/>
    <w:rsid w:val="003A70A4"/>
    <w:rsid w:val="003A7EF3"/>
    <w:rsid w:val="003B159C"/>
    <w:rsid w:val="003B369F"/>
    <w:rsid w:val="003B36A3"/>
    <w:rsid w:val="003B605E"/>
    <w:rsid w:val="003B64BB"/>
    <w:rsid w:val="003B7B8E"/>
    <w:rsid w:val="003B7FE5"/>
    <w:rsid w:val="003C11C8"/>
    <w:rsid w:val="003C2702"/>
    <w:rsid w:val="003C70C4"/>
    <w:rsid w:val="003C7806"/>
    <w:rsid w:val="003D109F"/>
    <w:rsid w:val="003D2478"/>
    <w:rsid w:val="003D3C45"/>
    <w:rsid w:val="003D5B1F"/>
    <w:rsid w:val="003D7E1C"/>
    <w:rsid w:val="003E15FA"/>
    <w:rsid w:val="003E20A7"/>
    <w:rsid w:val="003E55E4"/>
    <w:rsid w:val="003E74E3"/>
    <w:rsid w:val="003F05C7"/>
    <w:rsid w:val="003F2CD4"/>
    <w:rsid w:val="003F396E"/>
    <w:rsid w:val="003F6BBE"/>
    <w:rsid w:val="004000E8"/>
    <w:rsid w:val="0040036E"/>
    <w:rsid w:val="00402E2B"/>
    <w:rsid w:val="004030F6"/>
    <w:rsid w:val="0040512B"/>
    <w:rsid w:val="00405CA5"/>
    <w:rsid w:val="004067EC"/>
    <w:rsid w:val="00407C05"/>
    <w:rsid w:val="00407CD3"/>
    <w:rsid w:val="00410134"/>
    <w:rsid w:val="00410616"/>
    <w:rsid w:val="00410B72"/>
    <w:rsid w:val="00410F18"/>
    <w:rsid w:val="0041263E"/>
    <w:rsid w:val="00413AAC"/>
    <w:rsid w:val="00413E92"/>
    <w:rsid w:val="00421105"/>
    <w:rsid w:val="00421813"/>
    <w:rsid w:val="00422AA4"/>
    <w:rsid w:val="0042363D"/>
    <w:rsid w:val="004242F4"/>
    <w:rsid w:val="00424A68"/>
    <w:rsid w:val="00427248"/>
    <w:rsid w:val="00433FA8"/>
    <w:rsid w:val="00435439"/>
    <w:rsid w:val="00437447"/>
    <w:rsid w:val="0043782D"/>
    <w:rsid w:val="00441A92"/>
    <w:rsid w:val="004431DC"/>
    <w:rsid w:val="00444431"/>
    <w:rsid w:val="00444F56"/>
    <w:rsid w:val="00445B09"/>
    <w:rsid w:val="00446488"/>
    <w:rsid w:val="0045129C"/>
    <w:rsid w:val="0045150D"/>
    <w:rsid w:val="004517AA"/>
    <w:rsid w:val="00452CAC"/>
    <w:rsid w:val="00456CB5"/>
    <w:rsid w:val="00457565"/>
    <w:rsid w:val="00457947"/>
    <w:rsid w:val="00457B71"/>
    <w:rsid w:val="004630AD"/>
    <w:rsid w:val="004669E2"/>
    <w:rsid w:val="00470C31"/>
    <w:rsid w:val="00471DE0"/>
    <w:rsid w:val="004734D0"/>
    <w:rsid w:val="0047556B"/>
    <w:rsid w:val="00477768"/>
    <w:rsid w:val="00492BC5"/>
    <w:rsid w:val="00494EAB"/>
    <w:rsid w:val="004964F1"/>
    <w:rsid w:val="00496681"/>
    <w:rsid w:val="004A16BC"/>
    <w:rsid w:val="004A2932"/>
    <w:rsid w:val="004A2B94"/>
    <w:rsid w:val="004A7369"/>
    <w:rsid w:val="004A7E0E"/>
    <w:rsid w:val="004B6F6A"/>
    <w:rsid w:val="004B7C0C"/>
    <w:rsid w:val="004C3898"/>
    <w:rsid w:val="004C5823"/>
    <w:rsid w:val="004D13CB"/>
    <w:rsid w:val="004D1835"/>
    <w:rsid w:val="004D36B1"/>
    <w:rsid w:val="004D7B23"/>
    <w:rsid w:val="004D7EBD"/>
    <w:rsid w:val="004E2680"/>
    <w:rsid w:val="004E28F9"/>
    <w:rsid w:val="004E462E"/>
    <w:rsid w:val="004E56DC"/>
    <w:rsid w:val="004E6949"/>
    <w:rsid w:val="004E76F4"/>
    <w:rsid w:val="004F0B4E"/>
    <w:rsid w:val="004F0B6C"/>
    <w:rsid w:val="004F2078"/>
    <w:rsid w:val="004F4DA3"/>
    <w:rsid w:val="00505FE4"/>
    <w:rsid w:val="00506557"/>
    <w:rsid w:val="005065A1"/>
    <w:rsid w:val="0050677A"/>
    <w:rsid w:val="005108D8"/>
    <w:rsid w:val="005116F9"/>
    <w:rsid w:val="005153A7"/>
    <w:rsid w:val="005219CF"/>
    <w:rsid w:val="00522FEC"/>
    <w:rsid w:val="00526DD4"/>
    <w:rsid w:val="0053253F"/>
    <w:rsid w:val="00534B59"/>
    <w:rsid w:val="005363DA"/>
    <w:rsid w:val="00536759"/>
    <w:rsid w:val="00537C62"/>
    <w:rsid w:val="005423F1"/>
    <w:rsid w:val="00546970"/>
    <w:rsid w:val="00554E19"/>
    <w:rsid w:val="005578B1"/>
    <w:rsid w:val="0056121F"/>
    <w:rsid w:val="00562382"/>
    <w:rsid w:val="00564B5A"/>
    <w:rsid w:val="00572505"/>
    <w:rsid w:val="0057319D"/>
    <w:rsid w:val="00576AB0"/>
    <w:rsid w:val="00582809"/>
    <w:rsid w:val="0058798C"/>
    <w:rsid w:val="005900FA"/>
    <w:rsid w:val="005935A4"/>
    <w:rsid w:val="005948C2"/>
    <w:rsid w:val="00595DCA"/>
    <w:rsid w:val="00596444"/>
    <w:rsid w:val="0059779B"/>
    <w:rsid w:val="005A209A"/>
    <w:rsid w:val="005A3180"/>
    <w:rsid w:val="005A662D"/>
    <w:rsid w:val="005A792B"/>
    <w:rsid w:val="005B1409"/>
    <w:rsid w:val="005B35D7"/>
    <w:rsid w:val="005B392A"/>
    <w:rsid w:val="005B3AA3"/>
    <w:rsid w:val="005B6F83"/>
    <w:rsid w:val="005C09D1"/>
    <w:rsid w:val="005C1B60"/>
    <w:rsid w:val="005C2D65"/>
    <w:rsid w:val="005C74FB"/>
    <w:rsid w:val="005D02C4"/>
    <w:rsid w:val="005D1602"/>
    <w:rsid w:val="005D1E21"/>
    <w:rsid w:val="005D2356"/>
    <w:rsid w:val="005E385F"/>
    <w:rsid w:val="005E5B81"/>
    <w:rsid w:val="005E6398"/>
    <w:rsid w:val="005F2CB1"/>
    <w:rsid w:val="005F3025"/>
    <w:rsid w:val="005F618C"/>
    <w:rsid w:val="005F70BD"/>
    <w:rsid w:val="006024EF"/>
    <w:rsid w:val="0060283C"/>
    <w:rsid w:val="00603008"/>
    <w:rsid w:val="00604270"/>
    <w:rsid w:val="00604883"/>
    <w:rsid w:val="00604F14"/>
    <w:rsid w:val="00611B83"/>
    <w:rsid w:val="00613257"/>
    <w:rsid w:val="00620A71"/>
    <w:rsid w:val="00620D80"/>
    <w:rsid w:val="006234A6"/>
    <w:rsid w:val="006255E7"/>
    <w:rsid w:val="00630001"/>
    <w:rsid w:val="006311B3"/>
    <w:rsid w:val="0063284C"/>
    <w:rsid w:val="00633FFB"/>
    <w:rsid w:val="00636398"/>
    <w:rsid w:val="006368D3"/>
    <w:rsid w:val="006377EC"/>
    <w:rsid w:val="0064151F"/>
    <w:rsid w:val="00641533"/>
    <w:rsid w:val="0064208D"/>
    <w:rsid w:val="00643475"/>
    <w:rsid w:val="0064396A"/>
    <w:rsid w:val="0064624E"/>
    <w:rsid w:val="00646E0A"/>
    <w:rsid w:val="0065059E"/>
    <w:rsid w:val="00650758"/>
    <w:rsid w:val="00650AB9"/>
    <w:rsid w:val="00655733"/>
    <w:rsid w:val="00655ACD"/>
    <w:rsid w:val="00656A92"/>
    <w:rsid w:val="00656DDE"/>
    <w:rsid w:val="0066011D"/>
    <w:rsid w:val="006607C0"/>
    <w:rsid w:val="006613A6"/>
    <w:rsid w:val="0066178B"/>
    <w:rsid w:val="00661EC1"/>
    <w:rsid w:val="006627A2"/>
    <w:rsid w:val="006634E6"/>
    <w:rsid w:val="00663C46"/>
    <w:rsid w:val="006655EE"/>
    <w:rsid w:val="00667EE7"/>
    <w:rsid w:val="00670922"/>
    <w:rsid w:val="00670BE1"/>
    <w:rsid w:val="0067218F"/>
    <w:rsid w:val="00672803"/>
    <w:rsid w:val="006741F2"/>
    <w:rsid w:val="00674CC3"/>
    <w:rsid w:val="00675C72"/>
    <w:rsid w:val="006769E9"/>
    <w:rsid w:val="006771F9"/>
    <w:rsid w:val="006773D0"/>
    <w:rsid w:val="006776D7"/>
    <w:rsid w:val="00681003"/>
    <w:rsid w:val="006817C9"/>
    <w:rsid w:val="00683ECE"/>
    <w:rsid w:val="00690F33"/>
    <w:rsid w:val="006929C4"/>
    <w:rsid w:val="00695FC2"/>
    <w:rsid w:val="00696949"/>
    <w:rsid w:val="00697052"/>
    <w:rsid w:val="006A46FB"/>
    <w:rsid w:val="006A5E28"/>
    <w:rsid w:val="006A697B"/>
    <w:rsid w:val="006A7342"/>
    <w:rsid w:val="006A7AFF"/>
    <w:rsid w:val="006B1816"/>
    <w:rsid w:val="006B2099"/>
    <w:rsid w:val="006B3D8A"/>
    <w:rsid w:val="006B50CF"/>
    <w:rsid w:val="006C03B8"/>
    <w:rsid w:val="006C5EC9"/>
    <w:rsid w:val="006C5F6C"/>
    <w:rsid w:val="006C6059"/>
    <w:rsid w:val="006C7522"/>
    <w:rsid w:val="006D2D8B"/>
    <w:rsid w:val="006D6F08"/>
    <w:rsid w:val="006E062C"/>
    <w:rsid w:val="006E0C47"/>
    <w:rsid w:val="006E1C82"/>
    <w:rsid w:val="006E28B7"/>
    <w:rsid w:val="006E2A9B"/>
    <w:rsid w:val="006E3310"/>
    <w:rsid w:val="006E4E39"/>
    <w:rsid w:val="006E565E"/>
    <w:rsid w:val="006E673D"/>
    <w:rsid w:val="006E7D3B"/>
    <w:rsid w:val="006F1B70"/>
    <w:rsid w:val="006F341D"/>
    <w:rsid w:val="006F35B7"/>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4B82"/>
    <w:rsid w:val="00736146"/>
    <w:rsid w:val="007362A6"/>
    <w:rsid w:val="00736D7D"/>
    <w:rsid w:val="00740E58"/>
    <w:rsid w:val="007445A0"/>
    <w:rsid w:val="0074524B"/>
    <w:rsid w:val="00747D8B"/>
    <w:rsid w:val="00751228"/>
    <w:rsid w:val="007571E1"/>
    <w:rsid w:val="007604B2"/>
    <w:rsid w:val="00765281"/>
    <w:rsid w:val="00766BAD"/>
    <w:rsid w:val="007729A2"/>
    <w:rsid w:val="00772FC3"/>
    <w:rsid w:val="007755F2"/>
    <w:rsid w:val="00776971"/>
    <w:rsid w:val="00777205"/>
    <w:rsid w:val="00780A80"/>
    <w:rsid w:val="0078177E"/>
    <w:rsid w:val="0078304C"/>
    <w:rsid w:val="00783673"/>
    <w:rsid w:val="00785490"/>
    <w:rsid w:val="00791A06"/>
    <w:rsid w:val="007925EA"/>
    <w:rsid w:val="00793CD8"/>
    <w:rsid w:val="00795C92"/>
    <w:rsid w:val="00796231"/>
    <w:rsid w:val="00796C97"/>
    <w:rsid w:val="007A0AA9"/>
    <w:rsid w:val="007A1CB3"/>
    <w:rsid w:val="007A306F"/>
    <w:rsid w:val="007A3507"/>
    <w:rsid w:val="007A43A6"/>
    <w:rsid w:val="007A534F"/>
    <w:rsid w:val="007A58A6"/>
    <w:rsid w:val="007A6349"/>
    <w:rsid w:val="007A7444"/>
    <w:rsid w:val="007B3D2D"/>
    <w:rsid w:val="007B50AE"/>
    <w:rsid w:val="007B51DF"/>
    <w:rsid w:val="007B6A68"/>
    <w:rsid w:val="007B6E48"/>
    <w:rsid w:val="007C04D4"/>
    <w:rsid w:val="007C05DD"/>
    <w:rsid w:val="007C3D18"/>
    <w:rsid w:val="007C60BF"/>
    <w:rsid w:val="007C6A07"/>
    <w:rsid w:val="007C75A1"/>
    <w:rsid w:val="007C77A5"/>
    <w:rsid w:val="007D04E5"/>
    <w:rsid w:val="007D330F"/>
    <w:rsid w:val="007D3669"/>
    <w:rsid w:val="007D5901"/>
    <w:rsid w:val="007D7526"/>
    <w:rsid w:val="007E2CBD"/>
    <w:rsid w:val="007E4610"/>
    <w:rsid w:val="007E4715"/>
    <w:rsid w:val="007E505B"/>
    <w:rsid w:val="007E7091"/>
    <w:rsid w:val="007F2276"/>
    <w:rsid w:val="007F6999"/>
    <w:rsid w:val="00800F3C"/>
    <w:rsid w:val="00802FA3"/>
    <w:rsid w:val="00803FAE"/>
    <w:rsid w:val="0080605F"/>
    <w:rsid w:val="00807786"/>
    <w:rsid w:val="00811FCB"/>
    <w:rsid w:val="008158D6"/>
    <w:rsid w:val="0081711A"/>
    <w:rsid w:val="00817196"/>
    <w:rsid w:val="008235DB"/>
    <w:rsid w:val="00824AB4"/>
    <w:rsid w:val="00825883"/>
    <w:rsid w:val="00825C42"/>
    <w:rsid w:val="00825D25"/>
    <w:rsid w:val="00826B45"/>
    <w:rsid w:val="00827D6F"/>
    <w:rsid w:val="008336DE"/>
    <w:rsid w:val="00834E0F"/>
    <w:rsid w:val="008376AC"/>
    <w:rsid w:val="008444E8"/>
    <w:rsid w:val="00844E80"/>
    <w:rsid w:val="00845349"/>
    <w:rsid w:val="00846FE7"/>
    <w:rsid w:val="00852296"/>
    <w:rsid w:val="008547A2"/>
    <w:rsid w:val="00856911"/>
    <w:rsid w:val="008677FD"/>
    <w:rsid w:val="008706D4"/>
    <w:rsid w:val="00870F8A"/>
    <w:rsid w:val="008719A4"/>
    <w:rsid w:val="00871D23"/>
    <w:rsid w:val="00874312"/>
    <w:rsid w:val="0087437C"/>
    <w:rsid w:val="00875CD7"/>
    <w:rsid w:val="00876B4D"/>
    <w:rsid w:val="00877ABE"/>
    <w:rsid w:val="00877F18"/>
    <w:rsid w:val="00882325"/>
    <w:rsid w:val="008941E3"/>
    <w:rsid w:val="00894A88"/>
    <w:rsid w:val="00895386"/>
    <w:rsid w:val="008977B6"/>
    <w:rsid w:val="008A21FF"/>
    <w:rsid w:val="008A2CE2"/>
    <w:rsid w:val="008A30AC"/>
    <w:rsid w:val="008A44B8"/>
    <w:rsid w:val="008A51A8"/>
    <w:rsid w:val="008A54C7"/>
    <w:rsid w:val="008A77D8"/>
    <w:rsid w:val="008B0483"/>
    <w:rsid w:val="008B120C"/>
    <w:rsid w:val="008B51A0"/>
    <w:rsid w:val="008B592A"/>
    <w:rsid w:val="008B74E0"/>
    <w:rsid w:val="008B7B5C"/>
    <w:rsid w:val="008C0C99"/>
    <w:rsid w:val="008C2017"/>
    <w:rsid w:val="008C4958"/>
    <w:rsid w:val="008C4BAA"/>
    <w:rsid w:val="008C6AE8"/>
    <w:rsid w:val="008C7573"/>
    <w:rsid w:val="008D00A5"/>
    <w:rsid w:val="008D3121"/>
    <w:rsid w:val="008D34F1"/>
    <w:rsid w:val="008D39D8"/>
    <w:rsid w:val="008D3B28"/>
    <w:rsid w:val="008D6D1A"/>
    <w:rsid w:val="008E065E"/>
    <w:rsid w:val="008E0927"/>
    <w:rsid w:val="008E1909"/>
    <w:rsid w:val="008E5E35"/>
    <w:rsid w:val="008F1EAB"/>
    <w:rsid w:val="008F2706"/>
    <w:rsid w:val="008F33DC"/>
    <w:rsid w:val="008F477F"/>
    <w:rsid w:val="00902350"/>
    <w:rsid w:val="00902EA2"/>
    <w:rsid w:val="0090336B"/>
    <w:rsid w:val="009053AA"/>
    <w:rsid w:val="00906939"/>
    <w:rsid w:val="0090716C"/>
    <w:rsid w:val="00910B7D"/>
    <w:rsid w:val="00911DFB"/>
    <w:rsid w:val="009139D9"/>
    <w:rsid w:val="00914AD8"/>
    <w:rsid w:val="00916079"/>
    <w:rsid w:val="00917CE9"/>
    <w:rsid w:val="00920324"/>
    <w:rsid w:val="00920BF2"/>
    <w:rsid w:val="00921645"/>
    <w:rsid w:val="00922010"/>
    <w:rsid w:val="0092293C"/>
    <w:rsid w:val="00923255"/>
    <w:rsid w:val="00931BD9"/>
    <w:rsid w:val="009368F3"/>
    <w:rsid w:val="00941636"/>
    <w:rsid w:val="00943742"/>
    <w:rsid w:val="00945C05"/>
    <w:rsid w:val="00946945"/>
    <w:rsid w:val="00947171"/>
    <w:rsid w:val="00947713"/>
    <w:rsid w:val="00950DE7"/>
    <w:rsid w:val="00953920"/>
    <w:rsid w:val="00953D47"/>
    <w:rsid w:val="00955437"/>
    <w:rsid w:val="0095681E"/>
    <w:rsid w:val="009572D4"/>
    <w:rsid w:val="00960AFC"/>
    <w:rsid w:val="00961921"/>
    <w:rsid w:val="0096430A"/>
    <w:rsid w:val="0096554B"/>
    <w:rsid w:val="0096584A"/>
    <w:rsid w:val="0096642B"/>
    <w:rsid w:val="00971F08"/>
    <w:rsid w:val="0097603D"/>
    <w:rsid w:val="00976949"/>
    <w:rsid w:val="00980477"/>
    <w:rsid w:val="00985253"/>
    <w:rsid w:val="009853B3"/>
    <w:rsid w:val="00987313"/>
    <w:rsid w:val="0098796D"/>
    <w:rsid w:val="00990630"/>
    <w:rsid w:val="00991761"/>
    <w:rsid w:val="00994319"/>
    <w:rsid w:val="00994DCA"/>
    <w:rsid w:val="009960EC"/>
    <w:rsid w:val="009963E9"/>
    <w:rsid w:val="009970DD"/>
    <w:rsid w:val="009A0FBA"/>
    <w:rsid w:val="009A1601"/>
    <w:rsid w:val="009A3BB6"/>
    <w:rsid w:val="009A45C8"/>
    <w:rsid w:val="009A462D"/>
    <w:rsid w:val="009A5CBA"/>
    <w:rsid w:val="009B1F30"/>
    <w:rsid w:val="009B3AC2"/>
    <w:rsid w:val="009B4DF4"/>
    <w:rsid w:val="009B564E"/>
    <w:rsid w:val="009B7E87"/>
    <w:rsid w:val="009C0169"/>
    <w:rsid w:val="009C403E"/>
    <w:rsid w:val="009D12FA"/>
    <w:rsid w:val="009D4FF0"/>
    <w:rsid w:val="009D703C"/>
    <w:rsid w:val="009D718F"/>
    <w:rsid w:val="009E0427"/>
    <w:rsid w:val="009E068F"/>
    <w:rsid w:val="009E14E0"/>
    <w:rsid w:val="009E35DB"/>
    <w:rsid w:val="009E47A3"/>
    <w:rsid w:val="009E6C03"/>
    <w:rsid w:val="009F08F3"/>
    <w:rsid w:val="009F24AE"/>
    <w:rsid w:val="009F344F"/>
    <w:rsid w:val="00A00532"/>
    <w:rsid w:val="00A031D8"/>
    <w:rsid w:val="00A048A8"/>
    <w:rsid w:val="00A04F49"/>
    <w:rsid w:val="00A05F81"/>
    <w:rsid w:val="00A066B6"/>
    <w:rsid w:val="00A06CB8"/>
    <w:rsid w:val="00A119FD"/>
    <w:rsid w:val="00A13E54"/>
    <w:rsid w:val="00A17F63"/>
    <w:rsid w:val="00A2157E"/>
    <w:rsid w:val="00A2193B"/>
    <w:rsid w:val="00A2351A"/>
    <w:rsid w:val="00A264A9"/>
    <w:rsid w:val="00A26804"/>
    <w:rsid w:val="00A26DCF"/>
    <w:rsid w:val="00A27785"/>
    <w:rsid w:val="00A30187"/>
    <w:rsid w:val="00A324F9"/>
    <w:rsid w:val="00A3448A"/>
    <w:rsid w:val="00A344F0"/>
    <w:rsid w:val="00A36297"/>
    <w:rsid w:val="00A41E2B"/>
    <w:rsid w:val="00A45B74"/>
    <w:rsid w:val="00A52E1D"/>
    <w:rsid w:val="00A55B56"/>
    <w:rsid w:val="00A5796C"/>
    <w:rsid w:val="00A61499"/>
    <w:rsid w:val="00A62A77"/>
    <w:rsid w:val="00A63483"/>
    <w:rsid w:val="00A657D7"/>
    <w:rsid w:val="00A660AC"/>
    <w:rsid w:val="00A67E6C"/>
    <w:rsid w:val="00A71B99"/>
    <w:rsid w:val="00A71EFC"/>
    <w:rsid w:val="00A739D0"/>
    <w:rsid w:val="00A761D4"/>
    <w:rsid w:val="00A76625"/>
    <w:rsid w:val="00A77EC4"/>
    <w:rsid w:val="00A85A5A"/>
    <w:rsid w:val="00A90B42"/>
    <w:rsid w:val="00A92879"/>
    <w:rsid w:val="00A942BE"/>
    <w:rsid w:val="00A9442A"/>
    <w:rsid w:val="00A973D4"/>
    <w:rsid w:val="00AA016F"/>
    <w:rsid w:val="00AA1ED6"/>
    <w:rsid w:val="00AA51D6"/>
    <w:rsid w:val="00AA5F4F"/>
    <w:rsid w:val="00AB0BC8"/>
    <w:rsid w:val="00AB11CA"/>
    <w:rsid w:val="00AB14D9"/>
    <w:rsid w:val="00AB3271"/>
    <w:rsid w:val="00AB3DA9"/>
    <w:rsid w:val="00AB4AB8"/>
    <w:rsid w:val="00AB655E"/>
    <w:rsid w:val="00AC007F"/>
    <w:rsid w:val="00AC21E1"/>
    <w:rsid w:val="00AC2ECD"/>
    <w:rsid w:val="00AC3119"/>
    <w:rsid w:val="00AC40D9"/>
    <w:rsid w:val="00AC44B7"/>
    <w:rsid w:val="00AC49FB"/>
    <w:rsid w:val="00AC5A10"/>
    <w:rsid w:val="00AD0AA3"/>
    <w:rsid w:val="00AD13BC"/>
    <w:rsid w:val="00AD3F94"/>
    <w:rsid w:val="00AD4A5A"/>
    <w:rsid w:val="00AD7A34"/>
    <w:rsid w:val="00AE27AC"/>
    <w:rsid w:val="00AE40E0"/>
    <w:rsid w:val="00AE48C9"/>
    <w:rsid w:val="00AE4DBA"/>
    <w:rsid w:val="00AE4F07"/>
    <w:rsid w:val="00AF1C5D"/>
    <w:rsid w:val="00AF42D7"/>
    <w:rsid w:val="00B006FE"/>
    <w:rsid w:val="00B007CB"/>
    <w:rsid w:val="00B00FBF"/>
    <w:rsid w:val="00B02AA9"/>
    <w:rsid w:val="00B02FA3"/>
    <w:rsid w:val="00B05084"/>
    <w:rsid w:val="00B157F9"/>
    <w:rsid w:val="00B15BB2"/>
    <w:rsid w:val="00B20256"/>
    <w:rsid w:val="00B20D09"/>
    <w:rsid w:val="00B25DCD"/>
    <w:rsid w:val="00B261F5"/>
    <w:rsid w:val="00B266FC"/>
    <w:rsid w:val="00B26E88"/>
    <w:rsid w:val="00B2763F"/>
    <w:rsid w:val="00B27AAC"/>
    <w:rsid w:val="00B30929"/>
    <w:rsid w:val="00B31411"/>
    <w:rsid w:val="00B3151C"/>
    <w:rsid w:val="00B359C9"/>
    <w:rsid w:val="00B372AA"/>
    <w:rsid w:val="00B40445"/>
    <w:rsid w:val="00B409E0"/>
    <w:rsid w:val="00B41888"/>
    <w:rsid w:val="00B45A52"/>
    <w:rsid w:val="00B46175"/>
    <w:rsid w:val="00B52D2C"/>
    <w:rsid w:val="00B53DC4"/>
    <w:rsid w:val="00B548B7"/>
    <w:rsid w:val="00B57F3C"/>
    <w:rsid w:val="00B63C88"/>
    <w:rsid w:val="00B664C7"/>
    <w:rsid w:val="00B739F6"/>
    <w:rsid w:val="00B81A6C"/>
    <w:rsid w:val="00B81FA0"/>
    <w:rsid w:val="00B83A96"/>
    <w:rsid w:val="00B85DE5"/>
    <w:rsid w:val="00B90F73"/>
    <w:rsid w:val="00B93B59"/>
    <w:rsid w:val="00B9406A"/>
    <w:rsid w:val="00BA2280"/>
    <w:rsid w:val="00BA2A08"/>
    <w:rsid w:val="00BA56D2"/>
    <w:rsid w:val="00BA625F"/>
    <w:rsid w:val="00BA76E0"/>
    <w:rsid w:val="00BB0EBC"/>
    <w:rsid w:val="00BB2A25"/>
    <w:rsid w:val="00BB51E9"/>
    <w:rsid w:val="00BB59BD"/>
    <w:rsid w:val="00BB7EB8"/>
    <w:rsid w:val="00BC0FDC"/>
    <w:rsid w:val="00BC3053"/>
    <w:rsid w:val="00BC38AD"/>
    <w:rsid w:val="00BC3A20"/>
    <w:rsid w:val="00BC4D2E"/>
    <w:rsid w:val="00BD48AC"/>
    <w:rsid w:val="00BD4BFE"/>
    <w:rsid w:val="00BD50A1"/>
    <w:rsid w:val="00BD5F1A"/>
    <w:rsid w:val="00BD7EB4"/>
    <w:rsid w:val="00BE1234"/>
    <w:rsid w:val="00BE2FA6"/>
    <w:rsid w:val="00BE333F"/>
    <w:rsid w:val="00BE7406"/>
    <w:rsid w:val="00BE7603"/>
    <w:rsid w:val="00BF3279"/>
    <w:rsid w:val="00BF5557"/>
    <w:rsid w:val="00BF62DA"/>
    <w:rsid w:val="00BF74C7"/>
    <w:rsid w:val="00C015F1"/>
    <w:rsid w:val="00C01656"/>
    <w:rsid w:val="00C01F33"/>
    <w:rsid w:val="00C02CC6"/>
    <w:rsid w:val="00C040F7"/>
    <w:rsid w:val="00C044AB"/>
    <w:rsid w:val="00C05706"/>
    <w:rsid w:val="00C07377"/>
    <w:rsid w:val="00C10478"/>
    <w:rsid w:val="00C12107"/>
    <w:rsid w:val="00C14D4B"/>
    <w:rsid w:val="00C154BB"/>
    <w:rsid w:val="00C1579F"/>
    <w:rsid w:val="00C23690"/>
    <w:rsid w:val="00C239A1"/>
    <w:rsid w:val="00C26DD0"/>
    <w:rsid w:val="00C279B5"/>
    <w:rsid w:val="00C27C45"/>
    <w:rsid w:val="00C34F59"/>
    <w:rsid w:val="00C3719D"/>
    <w:rsid w:val="00C37CB2"/>
    <w:rsid w:val="00C43A50"/>
    <w:rsid w:val="00C43F64"/>
    <w:rsid w:val="00C47328"/>
    <w:rsid w:val="00C473A5"/>
    <w:rsid w:val="00C525AD"/>
    <w:rsid w:val="00C54995"/>
    <w:rsid w:val="00C54D41"/>
    <w:rsid w:val="00C576A8"/>
    <w:rsid w:val="00C60783"/>
    <w:rsid w:val="00C621E2"/>
    <w:rsid w:val="00C64672"/>
    <w:rsid w:val="00C664CC"/>
    <w:rsid w:val="00C70697"/>
    <w:rsid w:val="00C72093"/>
    <w:rsid w:val="00C72EF4"/>
    <w:rsid w:val="00C744FE"/>
    <w:rsid w:val="00C74DBE"/>
    <w:rsid w:val="00C75D2F"/>
    <w:rsid w:val="00C767BE"/>
    <w:rsid w:val="00C76E3C"/>
    <w:rsid w:val="00C81568"/>
    <w:rsid w:val="00C81CCE"/>
    <w:rsid w:val="00C84381"/>
    <w:rsid w:val="00C849CC"/>
    <w:rsid w:val="00C9027A"/>
    <w:rsid w:val="00C9068E"/>
    <w:rsid w:val="00C92BE7"/>
    <w:rsid w:val="00C92E20"/>
    <w:rsid w:val="00C93814"/>
    <w:rsid w:val="00C93C4B"/>
    <w:rsid w:val="00C944AB"/>
    <w:rsid w:val="00C95B40"/>
    <w:rsid w:val="00CA08C1"/>
    <w:rsid w:val="00CA1ED8"/>
    <w:rsid w:val="00CA42DC"/>
    <w:rsid w:val="00CB1F63"/>
    <w:rsid w:val="00CB7170"/>
    <w:rsid w:val="00CC040E"/>
    <w:rsid w:val="00CC111F"/>
    <w:rsid w:val="00CC2011"/>
    <w:rsid w:val="00CC34D7"/>
    <w:rsid w:val="00CC3EA0"/>
    <w:rsid w:val="00CC77DC"/>
    <w:rsid w:val="00CC7B45"/>
    <w:rsid w:val="00CD1188"/>
    <w:rsid w:val="00CD2ED1"/>
    <w:rsid w:val="00CD337B"/>
    <w:rsid w:val="00CE0424"/>
    <w:rsid w:val="00CE0BA2"/>
    <w:rsid w:val="00CE2BBC"/>
    <w:rsid w:val="00CE3EDF"/>
    <w:rsid w:val="00CE6AE6"/>
    <w:rsid w:val="00CE7561"/>
    <w:rsid w:val="00CF1354"/>
    <w:rsid w:val="00CF3B1F"/>
    <w:rsid w:val="00CF3BF6"/>
    <w:rsid w:val="00CF61B8"/>
    <w:rsid w:val="00CF625B"/>
    <w:rsid w:val="00CF687E"/>
    <w:rsid w:val="00D00FA3"/>
    <w:rsid w:val="00D032BD"/>
    <w:rsid w:val="00D0349B"/>
    <w:rsid w:val="00D03A6C"/>
    <w:rsid w:val="00D048E1"/>
    <w:rsid w:val="00D0695F"/>
    <w:rsid w:val="00D100D2"/>
    <w:rsid w:val="00D10249"/>
    <w:rsid w:val="00D115C3"/>
    <w:rsid w:val="00D11897"/>
    <w:rsid w:val="00D13135"/>
    <w:rsid w:val="00D13E4E"/>
    <w:rsid w:val="00D1637B"/>
    <w:rsid w:val="00D239A7"/>
    <w:rsid w:val="00D23F47"/>
    <w:rsid w:val="00D35F9A"/>
    <w:rsid w:val="00D36E71"/>
    <w:rsid w:val="00D37D87"/>
    <w:rsid w:val="00D40B33"/>
    <w:rsid w:val="00D4318F"/>
    <w:rsid w:val="00D438BF"/>
    <w:rsid w:val="00D440F8"/>
    <w:rsid w:val="00D546FF"/>
    <w:rsid w:val="00D55AD5"/>
    <w:rsid w:val="00D576CA"/>
    <w:rsid w:val="00D61AF5"/>
    <w:rsid w:val="00D63FF5"/>
    <w:rsid w:val="00D652B5"/>
    <w:rsid w:val="00D66155"/>
    <w:rsid w:val="00D7031A"/>
    <w:rsid w:val="00D708B0"/>
    <w:rsid w:val="00D77B1D"/>
    <w:rsid w:val="00D8021F"/>
    <w:rsid w:val="00D80383"/>
    <w:rsid w:val="00D823C6"/>
    <w:rsid w:val="00D828BF"/>
    <w:rsid w:val="00D8327F"/>
    <w:rsid w:val="00D86CA3"/>
    <w:rsid w:val="00D871CE"/>
    <w:rsid w:val="00D8726E"/>
    <w:rsid w:val="00D876AF"/>
    <w:rsid w:val="00D9196D"/>
    <w:rsid w:val="00D92982"/>
    <w:rsid w:val="00D93B9E"/>
    <w:rsid w:val="00D959F8"/>
    <w:rsid w:val="00D95F6C"/>
    <w:rsid w:val="00DA0BD2"/>
    <w:rsid w:val="00DA305E"/>
    <w:rsid w:val="00DA5417"/>
    <w:rsid w:val="00DA56E8"/>
    <w:rsid w:val="00DB0A9F"/>
    <w:rsid w:val="00DB0C16"/>
    <w:rsid w:val="00DB377D"/>
    <w:rsid w:val="00DB5585"/>
    <w:rsid w:val="00DC2D36"/>
    <w:rsid w:val="00DC38EE"/>
    <w:rsid w:val="00DC53EF"/>
    <w:rsid w:val="00DC59ED"/>
    <w:rsid w:val="00DC5F68"/>
    <w:rsid w:val="00DC68B3"/>
    <w:rsid w:val="00DD0C7A"/>
    <w:rsid w:val="00DD27C0"/>
    <w:rsid w:val="00DE25C4"/>
    <w:rsid w:val="00DE2C9C"/>
    <w:rsid w:val="00DE359E"/>
    <w:rsid w:val="00DE35EF"/>
    <w:rsid w:val="00DE4C83"/>
    <w:rsid w:val="00DE5608"/>
    <w:rsid w:val="00DE58D0"/>
    <w:rsid w:val="00DE654F"/>
    <w:rsid w:val="00DF0B6E"/>
    <w:rsid w:val="00DF15E0"/>
    <w:rsid w:val="00DF2FC6"/>
    <w:rsid w:val="00DF37A0"/>
    <w:rsid w:val="00DF5F18"/>
    <w:rsid w:val="00E032B9"/>
    <w:rsid w:val="00E07958"/>
    <w:rsid w:val="00E107E4"/>
    <w:rsid w:val="00E110E7"/>
    <w:rsid w:val="00E11B20"/>
    <w:rsid w:val="00E17FA2"/>
    <w:rsid w:val="00E20995"/>
    <w:rsid w:val="00E2187E"/>
    <w:rsid w:val="00E22330"/>
    <w:rsid w:val="00E2408C"/>
    <w:rsid w:val="00E267AD"/>
    <w:rsid w:val="00E30B5A"/>
    <w:rsid w:val="00E3123D"/>
    <w:rsid w:val="00E31461"/>
    <w:rsid w:val="00E31D43"/>
    <w:rsid w:val="00E32608"/>
    <w:rsid w:val="00E32B28"/>
    <w:rsid w:val="00E32CE3"/>
    <w:rsid w:val="00E34188"/>
    <w:rsid w:val="00E34B6E"/>
    <w:rsid w:val="00E35559"/>
    <w:rsid w:val="00E3723A"/>
    <w:rsid w:val="00E37309"/>
    <w:rsid w:val="00E37860"/>
    <w:rsid w:val="00E446F1"/>
    <w:rsid w:val="00E455C2"/>
    <w:rsid w:val="00E467C3"/>
    <w:rsid w:val="00E46886"/>
    <w:rsid w:val="00E46B11"/>
    <w:rsid w:val="00E47AEF"/>
    <w:rsid w:val="00E53B75"/>
    <w:rsid w:val="00E54E3B"/>
    <w:rsid w:val="00E555E1"/>
    <w:rsid w:val="00E57565"/>
    <w:rsid w:val="00E63838"/>
    <w:rsid w:val="00E64434"/>
    <w:rsid w:val="00E67247"/>
    <w:rsid w:val="00E67C51"/>
    <w:rsid w:val="00E7292B"/>
    <w:rsid w:val="00E72EFC"/>
    <w:rsid w:val="00E73257"/>
    <w:rsid w:val="00E758EC"/>
    <w:rsid w:val="00E81402"/>
    <w:rsid w:val="00E8234C"/>
    <w:rsid w:val="00E83AA9"/>
    <w:rsid w:val="00E83E6A"/>
    <w:rsid w:val="00E85928"/>
    <w:rsid w:val="00E86219"/>
    <w:rsid w:val="00E869CA"/>
    <w:rsid w:val="00E87822"/>
    <w:rsid w:val="00E90395"/>
    <w:rsid w:val="00E90E49"/>
    <w:rsid w:val="00E917F9"/>
    <w:rsid w:val="00E9291C"/>
    <w:rsid w:val="00E93FFE"/>
    <w:rsid w:val="00E94F8A"/>
    <w:rsid w:val="00EA21D5"/>
    <w:rsid w:val="00EA7A41"/>
    <w:rsid w:val="00EB077B"/>
    <w:rsid w:val="00EB4EA2"/>
    <w:rsid w:val="00EB5408"/>
    <w:rsid w:val="00EB5FAC"/>
    <w:rsid w:val="00EC24D5"/>
    <w:rsid w:val="00EC27C6"/>
    <w:rsid w:val="00EC4207"/>
    <w:rsid w:val="00EC5653"/>
    <w:rsid w:val="00EC71CE"/>
    <w:rsid w:val="00ED1006"/>
    <w:rsid w:val="00ED4CDF"/>
    <w:rsid w:val="00EE1DD6"/>
    <w:rsid w:val="00EF18FE"/>
    <w:rsid w:val="00EF5787"/>
    <w:rsid w:val="00EF60D0"/>
    <w:rsid w:val="00F00964"/>
    <w:rsid w:val="00F00CA5"/>
    <w:rsid w:val="00F0296A"/>
    <w:rsid w:val="00F02CCB"/>
    <w:rsid w:val="00F0528D"/>
    <w:rsid w:val="00F061C0"/>
    <w:rsid w:val="00F06C67"/>
    <w:rsid w:val="00F06DFD"/>
    <w:rsid w:val="00F071D1"/>
    <w:rsid w:val="00F07533"/>
    <w:rsid w:val="00F10629"/>
    <w:rsid w:val="00F127D8"/>
    <w:rsid w:val="00F15FA5"/>
    <w:rsid w:val="00F209B7"/>
    <w:rsid w:val="00F2376F"/>
    <w:rsid w:val="00F23937"/>
    <w:rsid w:val="00F24302"/>
    <w:rsid w:val="00F243D8"/>
    <w:rsid w:val="00F30828"/>
    <w:rsid w:val="00F313D6"/>
    <w:rsid w:val="00F35A31"/>
    <w:rsid w:val="00F36A2F"/>
    <w:rsid w:val="00F37CB9"/>
    <w:rsid w:val="00F40F0C"/>
    <w:rsid w:val="00F4766C"/>
    <w:rsid w:val="00F5060E"/>
    <w:rsid w:val="00F507D1"/>
    <w:rsid w:val="00F519CE"/>
    <w:rsid w:val="00F51ADA"/>
    <w:rsid w:val="00F55A40"/>
    <w:rsid w:val="00F5763F"/>
    <w:rsid w:val="00F60203"/>
    <w:rsid w:val="00F607C5"/>
    <w:rsid w:val="00F60DEA"/>
    <w:rsid w:val="00F6302A"/>
    <w:rsid w:val="00F634DA"/>
    <w:rsid w:val="00F63950"/>
    <w:rsid w:val="00F64C2B"/>
    <w:rsid w:val="00F651BE"/>
    <w:rsid w:val="00F65202"/>
    <w:rsid w:val="00F67F53"/>
    <w:rsid w:val="00F703BE"/>
    <w:rsid w:val="00F71F69"/>
    <w:rsid w:val="00F72B72"/>
    <w:rsid w:val="00F74BB9"/>
    <w:rsid w:val="00F75582"/>
    <w:rsid w:val="00F76EFA"/>
    <w:rsid w:val="00F804BE"/>
    <w:rsid w:val="00F809F3"/>
    <w:rsid w:val="00F817CE"/>
    <w:rsid w:val="00F833A3"/>
    <w:rsid w:val="00F8456C"/>
    <w:rsid w:val="00F859D8"/>
    <w:rsid w:val="00F868F5"/>
    <w:rsid w:val="00F9056A"/>
    <w:rsid w:val="00F90F8D"/>
    <w:rsid w:val="00F92782"/>
    <w:rsid w:val="00F93AA9"/>
    <w:rsid w:val="00F95497"/>
    <w:rsid w:val="00F96985"/>
    <w:rsid w:val="00F97838"/>
    <w:rsid w:val="00FA1CE1"/>
    <w:rsid w:val="00FA2BB3"/>
    <w:rsid w:val="00FA4A56"/>
    <w:rsid w:val="00FA6B17"/>
    <w:rsid w:val="00FB4C80"/>
    <w:rsid w:val="00FB605C"/>
    <w:rsid w:val="00FB6A6A"/>
    <w:rsid w:val="00FC7429"/>
    <w:rsid w:val="00FC7ABD"/>
    <w:rsid w:val="00FD07F6"/>
    <w:rsid w:val="00FD1EC8"/>
    <w:rsid w:val="00FD37FE"/>
    <w:rsid w:val="00FD47ED"/>
    <w:rsid w:val="00FD74DB"/>
    <w:rsid w:val="00FD7660"/>
    <w:rsid w:val="00FE0226"/>
    <w:rsid w:val="00FE0655"/>
    <w:rsid w:val="00FE2365"/>
    <w:rsid w:val="00FE37D7"/>
    <w:rsid w:val="00FE4C7B"/>
    <w:rsid w:val="00FE7336"/>
    <w:rsid w:val="00FE787C"/>
    <w:rsid w:val="00FF45A5"/>
    <w:rsid w:val="00FF5C91"/>
    <w:rsid w:val="00FF67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C9D6BA99-931A-409F-B5BF-06A3885E1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normaltextrun">
    <w:name w:val="normaltextrun"/>
    <w:basedOn w:val="DefaultParagraphFont"/>
    <w:qFormat/>
    <w:rsid w:val="00365FE3"/>
  </w:style>
  <w:style w:type="paragraph" w:customStyle="1" w:styleId="IvDbodytext">
    <w:name w:val="IvD bodytext"/>
    <w:basedOn w:val="BodyText"/>
    <w:link w:val="IvDbodytextChar"/>
    <w:qFormat/>
    <w:rsid w:val="00365F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365FE3"/>
    <w:rPr>
      <w:rFonts w:ascii="Arial" w:hAnsi="Arial"/>
      <w:spacing w:val="2"/>
      <w:lang w:val="en-US" w:eastAsia="en-US"/>
    </w:rPr>
  </w:style>
  <w:style w:type="character" w:customStyle="1" w:styleId="ProposalChar">
    <w:name w:val="Proposal Char"/>
    <w:link w:val="Proposal"/>
    <w:rsid w:val="00365FE3"/>
    <w:rPr>
      <w:rFonts w:ascii="Arial" w:hAnsi="Arial"/>
      <w:b/>
      <w:bCs/>
      <w:lang w:eastAsia="zh-CN"/>
    </w:rPr>
  </w:style>
  <w:style w:type="paragraph" w:styleId="Revision">
    <w:name w:val="Revision"/>
    <w:hidden/>
    <w:uiPriority w:val="99"/>
    <w:semiHidden/>
    <w:rsid w:val="004E6949"/>
    <w:rPr>
      <w:rFonts w:ascii="Times New Roman" w:hAnsi="Times New Roman"/>
      <w:lang w:eastAsia="ja-JP"/>
    </w:rPr>
  </w:style>
  <w:style w:type="paragraph" w:customStyle="1" w:styleId="NOr">
    <w:name w:val="NOr"/>
    <w:basedOn w:val="IvDbodytext"/>
    <w:qFormat/>
    <w:rsid w:val="00BB0EBC"/>
    <w:rPr>
      <w:lang w:val="en-GB"/>
    </w:rPr>
  </w:style>
  <w:style w:type="paragraph" w:customStyle="1" w:styleId="Agreement">
    <w:name w:val="Agreement"/>
    <w:basedOn w:val="Normal"/>
    <w:next w:val="Normal"/>
    <w:uiPriority w:val="99"/>
    <w:qFormat/>
    <w:rsid w:val="00E107E4"/>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85841">
      <w:bodyDiv w:val="1"/>
      <w:marLeft w:val="0"/>
      <w:marRight w:val="0"/>
      <w:marTop w:val="0"/>
      <w:marBottom w:val="0"/>
      <w:divBdr>
        <w:top w:val="none" w:sz="0" w:space="0" w:color="auto"/>
        <w:left w:val="none" w:sz="0" w:space="0" w:color="auto"/>
        <w:bottom w:val="none" w:sz="0" w:space="0" w:color="auto"/>
        <w:right w:val="none" w:sz="0" w:space="0" w:color="auto"/>
      </w:divBdr>
    </w:div>
    <w:div w:id="265817182">
      <w:bodyDiv w:val="1"/>
      <w:marLeft w:val="0"/>
      <w:marRight w:val="0"/>
      <w:marTop w:val="0"/>
      <w:marBottom w:val="0"/>
      <w:divBdr>
        <w:top w:val="none" w:sz="0" w:space="0" w:color="auto"/>
        <w:left w:val="none" w:sz="0" w:space="0" w:color="auto"/>
        <w:bottom w:val="none" w:sz="0" w:space="0" w:color="auto"/>
        <w:right w:val="none" w:sz="0" w:space="0" w:color="auto"/>
      </w:divBdr>
    </w:div>
    <w:div w:id="532615273">
      <w:bodyDiv w:val="1"/>
      <w:marLeft w:val="0"/>
      <w:marRight w:val="0"/>
      <w:marTop w:val="0"/>
      <w:marBottom w:val="0"/>
      <w:divBdr>
        <w:top w:val="none" w:sz="0" w:space="0" w:color="auto"/>
        <w:left w:val="none" w:sz="0" w:space="0" w:color="auto"/>
        <w:bottom w:val="none" w:sz="0" w:space="0" w:color="auto"/>
        <w:right w:val="none" w:sz="0" w:space="0" w:color="auto"/>
      </w:divBdr>
    </w:div>
    <w:div w:id="671956604">
      <w:bodyDiv w:val="1"/>
      <w:marLeft w:val="0"/>
      <w:marRight w:val="0"/>
      <w:marTop w:val="0"/>
      <w:marBottom w:val="0"/>
      <w:divBdr>
        <w:top w:val="none" w:sz="0" w:space="0" w:color="auto"/>
        <w:left w:val="none" w:sz="0" w:space="0" w:color="auto"/>
        <w:bottom w:val="none" w:sz="0" w:space="0" w:color="auto"/>
        <w:right w:val="none" w:sz="0" w:space="0" w:color="auto"/>
      </w:divBdr>
    </w:div>
    <w:div w:id="1384401896">
      <w:bodyDiv w:val="1"/>
      <w:marLeft w:val="0"/>
      <w:marRight w:val="0"/>
      <w:marTop w:val="0"/>
      <w:marBottom w:val="0"/>
      <w:divBdr>
        <w:top w:val="none" w:sz="0" w:space="0" w:color="auto"/>
        <w:left w:val="none" w:sz="0" w:space="0" w:color="auto"/>
        <w:bottom w:val="none" w:sz="0" w:space="0" w:color="auto"/>
        <w:right w:val="none" w:sz="0" w:space="0" w:color="auto"/>
      </w:divBdr>
    </w:div>
    <w:div w:id="146361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0C75665A-8D3B-4EDF-92FC-AC5B4208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187</TotalTime>
  <Pages>5</Pages>
  <Words>2060</Words>
  <Characters>11744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13777</CharactersWithSpaces>
  <SharedDoc>false</SharedDoc>
  <HLinks>
    <vt:vector size="72" baseType="variant">
      <vt:variant>
        <vt:i4>1900592</vt:i4>
      </vt:variant>
      <vt:variant>
        <vt:i4>47</vt:i4>
      </vt:variant>
      <vt:variant>
        <vt:i4>0</vt:i4>
      </vt:variant>
      <vt:variant>
        <vt:i4>5</vt:i4>
      </vt:variant>
      <vt:variant>
        <vt:lpwstr/>
      </vt:variant>
      <vt:variant>
        <vt:lpwstr>_Toc166229577</vt:lpwstr>
      </vt:variant>
      <vt:variant>
        <vt:i4>1900592</vt:i4>
      </vt:variant>
      <vt:variant>
        <vt:i4>44</vt:i4>
      </vt:variant>
      <vt:variant>
        <vt:i4>0</vt:i4>
      </vt:variant>
      <vt:variant>
        <vt:i4>5</vt:i4>
      </vt:variant>
      <vt:variant>
        <vt:lpwstr/>
      </vt:variant>
      <vt:variant>
        <vt:lpwstr>_Toc166229576</vt:lpwstr>
      </vt:variant>
      <vt:variant>
        <vt:i4>1900592</vt:i4>
      </vt:variant>
      <vt:variant>
        <vt:i4>41</vt:i4>
      </vt:variant>
      <vt:variant>
        <vt:i4>0</vt:i4>
      </vt:variant>
      <vt:variant>
        <vt:i4>5</vt:i4>
      </vt:variant>
      <vt:variant>
        <vt:lpwstr/>
      </vt:variant>
      <vt:variant>
        <vt:lpwstr>_Toc166229575</vt:lpwstr>
      </vt:variant>
      <vt:variant>
        <vt:i4>1900592</vt:i4>
      </vt:variant>
      <vt:variant>
        <vt:i4>38</vt:i4>
      </vt:variant>
      <vt:variant>
        <vt:i4>0</vt:i4>
      </vt:variant>
      <vt:variant>
        <vt:i4>5</vt:i4>
      </vt:variant>
      <vt:variant>
        <vt:lpwstr/>
      </vt:variant>
      <vt:variant>
        <vt:lpwstr>_Toc166229574</vt:lpwstr>
      </vt:variant>
      <vt:variant>
        <vt:i4>1900592</vt:i4>
      </vt:variant>
      <vt:variant>
        <vt:i4>35</vt:i4>
      </vt:variant>
      <vt:variant>
        <vt:i4>0</vt:i4>
      </vt:variant>
      <vt:variant>
        <vt:i4>5</vt:i4>
      </vt:variant>
      <vt:variant>
        <vt:lpwstr/>
      </vt:variant>
      <vt:variant>
        <vt:lpwstr>_Toc166229573</vt:lpwstr>
      </vt:variant>
      <vt:variant>
        <vt:i4>1900592</vt:i4>
      </vt:variant>
      <vt:variant>
        <vt:i4>32</vt:i4>
      </vt:variant>
      <vt:variant>
        <vt:i4>0</vt:i4>
      </vt:variant>
      <vt:variant>
        <vt:i4>5</vt:i4>
      </vt:variant>
      <vt:variant>
        <vt:lpwstr/>
      </vt:variant>
      <vt:variant>
        <vt:lpwstr>_Toc166229572</vt:lpwstr>
      </vt:variant>
      <vt:variant>
        <vt:i4>1900592</vt:i4>
      </vt:variant>
      <vt:variant>
        <vt:i4>29</vt:i4>
      </vt:variant>
      <vt:variant>
        <vt:i4>0</vt:i4>
      </vt:variant>
      <vt:variant>
        <vt:i4>5</vt:i4>
      </vt:variant>
      <vt:variant>
        <vt:lpwstr/>
      </vt:variant>
      <vt:variant>
        <vt:lpwstr>_Toc166229571</vt:lpwstr>
      </vt:variant>
      <vt:variant>
        <vt:i4>1900592</vt:i4>
      </vt:variant>
      <vt:variant>
        <vt:i4>26</vt:i4>
      </vt:variant>
      <vt:variant>
        <vt:i4>0</vt:i4>
      </vt:variant>
      <vt:variant>
        <vt:i4>5</vt:i4>
      </vt:variant>
      <vt:variant>
        <vt:lpwstr/>
      </vt:variant>
      <vt:variant>
        <vt:lpwstr>_Toc166229570</vt:lpwstr>
      </vt:variant>
      <vt:variant>
        <vt:i4>1179696</vt:i4>
      </vt:variant>
      <vt:variant>
        <vt:i4>20</vt:i4>
      </vt:variant>
      <vt:variant>
        <vt:i4>0</vt:i4>
      </vt:variant>
      <vt:variant>
        <vt:i4>5</vt:i4>
      </vt:variant>
      <vt:variant>
        <vt:lpwstr/>
      </vt:variant>
      <vt:variant>
        <vt:lpwstr>_Toc166229581</vt:lpwstr>
      </vt:variant>
      <vt:variant>
        <vt:i4>1179696</vt:i4>
      </vt:variant>
      <vt:variant>
        <vt:i4>17</vt:i4>
      </vt:variant>
      <vt:variant>
        <vt:i4>0</vt:i4>
      </vt:variant>
      <vt:variant>
        <vt:i4>5</vt:i4>
      </vt:variant>
      <vt:variant>
        <vt:lpwstr/>
      </vt:variant>
      <vt:variant>
        <vt:lpwstr>_Toc166229580</vt:lpwstr>
      </vt:variant>
      <vt:variant>
        <vt:i4>1900592</vt:i4>
      </vt:variant>
      <vt:variant>
        <vt:i4>14</vt:i4>
      </vt:variant>
      <vt:variant>
        <vt:i4>0</vt:i4>
      </vt:variant>
      <vt:variant>
        <vt:i4>5</vt:i4>
      </vt:variant>
      <vt:variant>
        <vt:lpwstr/>
      </vt:variant>
      <vt:variant>
        <vt:lpwstr>_Toc166229579</vt:lpwstr>
      </vt:variant>
      <vt:variant>
        <vt:i4>1900592</vt:i4>
      </vt:variant>
      <vt:variant>
        <vt:i4>11</vt:i4>
      </vt:variant>
      <vt:variant>
        <vt:i4>0</vt:i4>
      </vt:variant>
      <vt:variant>
        <vt:i4>5</vt:i4>
      </vt:variant>
      <vt:variant>
        <vt:lpwstr/>
      </vt:variant>
      <vt:variant>
        <vt:lpwstr>_Toc166229578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148</cp:revision>
  <cp:lastPrinted>2008-01-31T07:09:00Z</cp:lastPrinted>
  <dcterms:created xsi:type="dcterms:W3CDTF">2024-04-05T08:05:00Z</dcterms:created>
  <dcterms:modified xsi:type="dcterms:W3CDTF">2024-05-10T08:45:00Z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